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ind w:firstLine="845" w:firstLineChars="302"/>
        <w:rPr>
          <w:rFonts w:ascii="仿宋_GB2312" w:hAnsi="Times New Roman" w:eastAsia="仿宋_GB2312"/>
          <w:sz w:val="28"/>
          <w:szCs w:val="28"/>
        </w:rPr>
      </w:pPr>
    </w:p>
    <w:tbl>
      <w:tblPr>
        <w:tblStyle w:val="11"/>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案件名称</w:t>
            </w: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广东天安新材料股份有限公司收购佛山石湾鹰牌陶瓷有限公司等四家公司股权案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交易概况（限200字内）</w:t>
            </w:r>
          </w:p>
        </w:tc>
        <w:tc>
          <w:tcPr>
            <w:tcW w:w="6949" w:type="dxa"/>
            <w:gridSpan w:val="2"/>
            <w:shd w:val="clear" w:color="auto" w:fill="auto"/>
          </w:tcPr>
          <w:p>
            <w:pPr>
              <w:spacing w:line="500" w:lineRule="exact"/>
            </w:pPr>
            <w:r>
              <w:rPr>
                <w:rFonts w:hint="eastAsia" w:ascii="仿宋_GB2312" w:hAnsi="Times New Roman" w:eastAsia="仿宋_GB2312"/>
                <w:sz w:val="28"/>
                <w:szCs w:val="28"/>
              </w:rPr>
              <w:t>广东天安新材料股份有限公司（“天安新材”）拟以竞买的方式收购广东鹰牌陶瓷集团有限公司（“鹰牌集团”）持有的鹰牌陶瓷有限公司（“石湾鹰牌”）、河源市东源鹰牌陶瓷有限公司（“东源鹰牌”）、佛山鹰牌科技有限公司（“鹰牌科技”）、佛山鹰牌陶瓷贸易有限公司（“鹰牌贸易”）各66%股权（“拟议交易”）</w:t>
            </w:r>
            <w:r>
              <w:rPr>
                <w:rFonts w:ascii="仿宋_GB2312" w:hAnsi="Times New Roman" w:eastAsia="仿宋_GB2312"/>
                <w:sz w:val="28"/>
                <w:szCs w:val="28"/>
              </w:rPr>
              <w:t>。</w:t>
            </w:r>
            <w:r>
              <w:rPr>
                <w:rFonts w:hint="eastAsia" w:ascii="仿宋_GB2312" w:hAnsi="Times New Roman" w:eastAsia="仿宋_GB2312"/>
                <w:sz w:val="28"/>
                <w:szCs w:val="28"/>
              </w:rPr>
              <w:t>拟议交易</w:t>
            </w:r>
            <w:r>
              <w:rPr>
                <w:rFonts w:ascii="仿宋_GB2312" w:hAnsi="Times New Roman" w:eastAsia="仿宋_GB2312"/>
                <w:sz w:val="28"/>
                <w:szCs w:val="28"/>
              </w:rPr>
              <w:t>完成</w:t>
            </w:r>
            <w:r>
              <w:rPr>
                <w:rFonts w:hint="eastAsia" w:ascii="仿宋_GB2312" w:hAnsi="Times New Roman" w:eastAsia="仿宋_GB2312"/>
                <w:sz w:val="28"/>
                <w:szCs w:val="28"/>
              </w:rPr>
              <w:t>前，鹰牌集团享有上述四家公司的单独控制权；拟议交易</w:t>
            </w:r>
            <w:r>
              <w:rPr>
                <w:rFonts w:ascii="仿宋_GB2312" w:hAnsi="Times New Roman" w:eastAsia="仿宋_GB2312"/>
                <w:sz w:val="28"/>
                <w:szCs w:val="28"/>
              </w:rPr>
              <w:t>完成后，</w:t>
            </w:r>
            <w:r>
              <w:rPr>
                <w:rFonts w:hint="eastAsia" w:ascii="仿宋_GB2312" w:hAnsi="Times New Roman" w:eastAsia="仿宋_GB2312"/>
                <w:sz w:val="28"/>
                <w:szCs w:val="28"/>
              </w:rPr>
              <w:t>天安新材</w:t>
            </w:r>
            <w:r>
              <w:rPr>
                <w:rFonts w:ascii="仿宋_GB2312" w:hAnsi="Times New Roman" w:eastAsia="仿宋_GB2312"/>
                <w:sz w:val="28"/>
                <w:szCs w:val="28"/>
              </w:rPr>
              <w:t>将取得</w:t>
            </w:r>
            <w:r>
              <w:rPr>
                <w:rFonts w:hint="eastAsia" w:ascii="仿宋_GB2312" w:hAnsi="Times New Roman" w:eastAsia="仿宋_GB2312"/>
                <w:sz w:val="28"/>
                <w:szCs w:val="28"/>
              </w:rPr>
              <w:t>上述四家公司</w:t>
            </w:r>
            <w:r>
              <w:rPr>
                <w:rFonts w:ascii="仿宋_GB2312" w:hAnsi="Times New Roman" w:eastAsia="仿宋_GB2312"/>
                <w:sz w:val="28"/>
                <w:szCs w:val="28"/>
              </w:rPr>
              <w:t>的</w:t>
            </w:r>
            <w:r>
              <w:rPr>
                <w:rFonts w:hint="eastAsia" w:ascii="仿宋_GB2312" w:hAnsi="Times New Roman" w:eastAsia="仿宋_GB2312"/>
                <w:sz w:val="28"/>
                <w:szCs w:val="28"/>
              </w:rPr>
              <w:t>单独</w:t>
            </w:r>
            <w:r>
              <w:rPr>
                <w:rFonts w:ascii="仿宋_GB2312" w:hAnsi="Times New Roman" w:eastAsia="仿宋_GB2312"/>
                <w:sz w:val="28"/>
                <w:szCs w:val="28"/>
              </w:rPr>
              <w:t>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78" w:hRule="atLeast"/>
        </w:trPr>
        <w:tc>
          <w:tcPr>
            <w:tcW w:w="1809" w:type="dxa"/>
            <w:vMerge w:val="restart"/>
            <w:shd w:val="clear" w:color="auto" w:fill="D8D8D8" w:themeFill="background1" w:themeFillShade="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参与集中的经营者简介</w:t>
            </w:r>
          </w:p>
        </w:tc>
        <w:tc>
          <w:tcPr>
            <w:tcW w:w="1796" w:type="dxa"/>
            <w:vAlign w:val="center"/>
          </w:tcPr>
          <w:p>
            <w:pPr>
              <w:spacing w:line="500" w:lineRule="exact"/>
              <w:jc w:val="both"/>
              <w:rPr>
                <w:rFonts w:ascii="仿宋_GB2312" w:hAnsi="Times New Roman" w:eastAsia="仿宋_GB2312"/>
                <w:sz w:val="28"/>
                <w:szCs w:val="28"/>
              </w:rPr>
            </w:pPr>
            <w:r>
              <w:rPr>
                <w:rFonts w:hint="eastAsia" w:ascii="仿宋_GB2312" w:hAnsi="Times New Roman" w:eastAsia="仿宋_GB2312"/>
                <w:sz w:val="28"/>
                <w:szCs w:val="28"/>
              </w:rPr>
              <w:t>1、天安新材</w:t>
            </w:r>
          </w:p>
        </w:tc>
        <w:tc>
          <w:tcPr>
            <w:tcW w:w="5153" w:type="dxa"/>
            <w:shd w:val="clear" w:color="auto" w:fill="auto"/>
            <w:vAlign w:val="center"/>
          </w:tcPr>
          <w:p>
            <w:pPr>
              <w:spacing w:line="500" w:lineRule="exact"/>
              <w:jc w:val="both"/>
              <w:rPr>
                <w:rFonts w:ascii="仿宋_GB2312" w:hAnsi="Times New Roman" w:eastAsia="仿宋_GB2312"/>
                <w:sz w:val="28"/>
                <w:szCs w:val="28"/>
              </w:rPr>
            </w:pPr>
            <w:r>
              <w:rPr>
                <w:rFonts w:hint="eastAsia" w:ascii="仿宋_GB2312" w:hAnsi="Times New Roman" w:eastAsia="仿宋_GB2312"/>
                <w:sz w:val="28"/>
                <w:szCs w:val="28"/>
              </w:rPr>
              <w:t>天安新材于2000年5月15日成立，2017年9月6日在上海证券交易所上市。天安新材专业从事高分子复合饰面材料的研发、设计、生产及销售，主营家居装饰饰面材料、汽车内饰饰面材料、薄膜及人造革等产品。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3" w:hRule="atLeast"/>
        </w:trPr>
        <w:tc>
          <w:tcPr>
            <w:tcW w:w="1809" w:type="dxa"/>
            <w:vMerge w:val="continue"/>
          </w:tcPr>
          <w:p>
            <w:pPr>
              <w:spacing w:line="500" w:lineRule="exact"/>
              <w:rPr>
                <w:rFonts w:ascii="仿宋_GB2312" w:hAnsi="Times New Roman" w:eastAsia="仿宋_GB2312"/>
                <w:sz w:val="28"/>
                <w:szCs w:val="28"/>
              </w:rPr>
            </w:pPr>
          </w:p>
        </w:tc>
        <w:tc>
          <w:tcPr>
            <w:tcW w:w="1796" w:type="dxa"/>
            <w:vAlign w:val="center"/>
          </w:tcPr>
          <w:p>
            <w:pPr>
              <w:spacing w:line="500" w:lineRule="exact"/>
              <w:jc w:val="both"/>
              <w:rPr>
                <w:rFonts w:ascii="仿宋_GB2312" w:hAnsi="Times New Roman" w:eastAsia="仿宋_GB2312"/>
                <w:sz w:val="28"/>
                <w:szCs w:val="28"/>
              </w:rPr>
            </w:pPr>
            <w:r>
              <w:rPr>
                <w:rFonts w:hint="eastAsia" w:ascii="仿宋_GB2312" w:hAnsi="Times New Roman" w:eastAsia="仿宋_GB2312"/>
                <w:sz w:val="28"/>
                <w:szCs w:val="28"/>
              </w:rPr>
              <w:t>2、石湾鹰牌、东源鹰牌、鹰牌贸易、鹰牌科技</w:t>
            </w:r>
          </w:p>
        </w:tc>
        <w:tc>
          <w:tcPr>
            <w:tcW w:w="5153" w:type="dxa"/>
            <w:shd w:val="clear" w:color="auto" w:fill="auto"/>
            <w:vAlign w:val="center"/>
          </w:tcPr>
          <w:p>
            <w:pPr>
              <w:spacing w:line="500" w:lineRule="exact"/>
              <w:jc w:val="both"/>
              <w:rPr>
                <w:rFonts w:ascii="仿宋_GB2312" w:hAnsi="Times New Roman" w:eastAsia="仿宋_GB2312"/>
                <w:sz w:val="28"/>
                <w:szCs w:val="28"/>
              </w:rPr>
            </w:pPr>
            <w:r>
              <w:rPr>
                <w:rFonts w:hint="eastAsia" w:ascii="仿宋_GB2312" w:hAnsi="Times New Roman" w:eastAsia="仿宋_GB2312"/>
                <w:sz w:val="28"/>
                <w:szCs w:val="28"/>
              </w:rPr>
              <w:t>石湾鹰牌成立于1995年9月29日，</w:t>
            </w:r>
            <w:r>
              <w:rPr>
                <w:rFonts w:ascii="仿宋_GB2312" w:hAnsi="Times New Roman" w:eastAsia="仿宋_GB2312"/>
                <w:sz w:val="28"/>
                <w:szCs w:val="28"/>
              </w:rPr>
              <w:t xml:space="preserve"> </w:t>
            </w:r>
            <w:r>
              <w:rPr>
                <w:rFonts w:hint="eastAsia" w:ascii="仿宋_GB2312" w:hAnsi="Times New Roman" w:eastAsia="仿宋_GB2312"/>
                <w:sz w:val="28"/>
                <w:szCs w:val="28"/>
              </w:rPr>
              <w:t>东源鹰牌成立于2009年8月19日，鹰牌贸易成立于2010年09月27日，鹰牌科技成立于2010年9月10日。石湾鹰牌、东源鹰牌、鹰牌贸易、鹰牌科技均注册于中国，专注于中高端陶瓷砖产品的研发、生产和销售，具有深厚的技术储备和较高的市场声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简易案件理由（可以单选，也可以多选）</w:t>
            </w:r>
          </w:p>
        </w:tc>
        <w:tc>
          <w:tcPr>
            <w:tcW w:w="6949" w:type="dxa"/>
            <w:gridSpan w:val="2"/>
          </w:tcPr>
          <w:p>
            <w:pPr>
              <w:spacing w:line="500" w:lineRule="exact"/>
              <w:rPr>
                <w:rFonts w:ascii="仿宋_GB2312" w:hAnsi="Times New Roman" w:eastAsia="仿宋_GB2312"/>
                <w:sz w:val="28"/>
                <w:szCs w:val="28"/>
              </w:rPr>
            </w:pPr>
            <w:r>
              <w:rPr>
                <w:rFonts w:ascii="仿宋_GB2312" w:hAnsi="Times New Roman" w:eastAsia="仿宋_GB2312"/>
                <w:sz w:val="28"/>
                <w:szCs w:val="28"/>
              </w:rPr>
              <w:sym w:font="Wingdings" w:char="F0FE"/>
            </w:r>
            <w:r>
              <w:rPr>
                <w:rFonts w:hint="eastAsia" w:ascii="仿宋_GB2312" w:hAnsi="Times New Roman" w:eastAsia="仿宋_GB2312"/>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ascii="仿宋_GB2312" w:hAnsi="Times New Roman" w:eastAsia="仿宋_GB2312"/>
                <w:sz w:val="28"/>
                <w:szCs w:val="28"/>
              </w:rPr>
              <w:sym w:font="Wingdings" w:char="F0FE"/>
            </w:r>
            <w:r>
              <w:rPr>
                <w:rFonts w:hint="eastAsia" w:ascii="仿宋_GB2312" w:hAnsi="Times New Roman" w:eastAsia="仿宋_GB2312"/>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tcPr>
          <w:p>
            <w:pPr>
              <w:spacing w:line="500" w:lineRule="exact"/>
              <w:rPr>
                <w:rFonts w:ascii="仿宋_GB2312" w:hAnsi="Times New Roman" w:eastAsia="仿宋_GB2312"/>
                <w:sz w:val="28"/>
                <w:szCs w:val="28"/>
              </w:rPr>
            </w:pP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备注</w:t>
            </w:r>
          </w:p>
        </w:tc>
        <w:tc>
          <w:tcPr>
            <w:tcW w:w="6949" w:type="dxa"/>
            <w:gridSpan w:val="2"/>
          </w:tcPr>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相关</w:t>
            </w:r>
            <w:r>
              <w:rPr>
                <w:rFonts w:ascii="仿宋_GB2312" w:hAnsi="Times New Roman" w:eastAsia="仿宋_GB2312"/>
                <w:sz w:val="28"/>
                <w:szCs w:val="28"/>
              </w:rPr>
              <w:t>产品市场：</w:t>
            </w:r>
            <w:r>
              <w:rPr>
                <w:rFonts w:hint="eastAsia" w:ascii="仿宋_GB2312" w:hAnsi="Times New Roman" w:eastAsia="仿宋_GB2312"/>
                <w:sz w:val="28"/>
                <w:szCs w:val="28"/>
              </w:rPr>
              <w:t>陶瓷砖供应</w:t>
            </w:r>
            <w:r>
              <w:rPr>
                <w:rFonts w:ascii="仿宋_GB2312" w:hAnsi="Times New Roman" w:eastAsia="仿宋_GB2312"/>
                <w:sz w:val="28"/>
                <w:szCs w:val="28"/>
              </w:rPr>
              <w:t>市场；</w:t>
            </w:r>
            <w:r>
              <w:rPr>
                <w:rFonts w:hint="eastAsia" w:ascii="仿宋_GB2312" w:hAnsi="Times New Roman" w:eastAsia="仿宋_GB2312"/>
                <w:sz w:val="28"/>
                <w:szCs w:val="28"/>
              </w:rPr>
              <w:t>（上游）</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相关</w:t>
            </w:r>
            <w:r>
              <w:rPr>
                <w:rFonts w:ascii="仿宋_GB2312" w:hAnsi="Times New Roman" w:eastAsia="仿宋_GB2312"/>
                <w:sz w:val="28"/>
                <w:szCs w:val="28"/>
              </w:rPr>
              <w:t>地域市场：</w:t>
            </w:r>
            <w:r>
              <w:rPr>
                <w:rFonts w:hint="eastAsia" w:ascii="仿宋_GB2312" w:hAnsi="Times New Roman" w:eastAsia="仿宋_GB2312"/>
                <w:sz w:val="28"/>
                <w:szCs w:val="28"/>
              </w:rPr>
              <w:t>中国</w:t>
            </w:r>
            <w:r>
              <w:rPr>
                <w:rFonts w:ascii="仿宋_GB2312" w:hAnsi="Times New Roman" w:eastAsia="仿宋_GB2312"/>
                <w:sz w:val="28"/>
                <w:szCs w:val="28"/>
              </w:rPr>
              <w:t>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市场</w:t>
            </w:r>
            <w:r>
              <w:rPr>
                <w:rFonts w:ascii="仿宋_GB2312" w:hAnsi="Times New Roman" w:eastAsia="仿宋_GB2312"/>
                <w:sz w:val="28"/>
                <w:szCs w:val="28"/>
              </w:rPr>
              <w:t>份额：</w:t>
            </w:r>
            <w:r>
              <w:rPr>
                <w:rFonts w:hint="eastAsia" w:ascii="仿宋_GB2312" w:hAnsi="Times New Roman" w:eastAsia="仿宋_GB2312"/>
                <w:sz w:val="28"/>
                <w:szCs w:val="28"/>
              </w:rPr>
              <w:t>天安新材：</w:t>
            </w:r>
            <w:r>
              <w:rPr>
                <w:rFonts w:ascii="仿宋_GB2312" w:hAnsi="Times New Roman" w:eastAsia="仿宋_GB2312"/>
                <w:sz w:val="28"/>
                <w:szCs w:val="28"/>
              </w:rPr>
              <w:t>[0-5]%</w:t>
            </w:r>
            <w:r>
              <w:rPr>
                <w:rFonts w:hint="eastAsia" w:ascii="仿宋_GB2312" w:hAnsi="Times New Roman" w:eastAsia="仿宋_GB2312"/>
                <w:sz w:val="28"/>
                <w:szCs w:val="28"/>
              </w:rPr>
              <w:t>；石湾鹰牌、东源鹰牌、鹰牌贸易及鹰牌科技合计：</w:t>
            </w:r>
            <w:r>
              <w:rPr>
                <w:rFonts w:ascii="仿宋_GB2312" w:hAnsi="Times New Roman" w:eastAsia="仿宋_GB2312"/>
                <w:sz w:val="28"/>
                <w:szCs w:val="28"/>
              </w:rPr>
              <w:t>[0-5]%</w:t>
            </w:r>
            <w:r>
              <w:rPr>
                <w:rFonts w:hint="eastAsia" w:ascii="仿宋_GB2312" w:hAnsi="Times New Roman" w:eastAsia="仿宋_GB2312"/>
                <w:sz w:val="28"/>
                <w:szCs w:val="28"/>
              </w:rPr>
              <w:t>。</w:t>
            </w:r>
          </w:p>
          <w:p>
            <w:pPr>
              <w:spacing w:line="500" w:lineRule="exact"/>
              <w:rPr>
                <w:rFonts w:ascii="仿宋_GB2312" w:hAnsi="Times New Roman" w:eastAsia="仿宋_GB2312"/>
                <w:sz w:val="28"/>
                <w:szCs w:val="28"/>
              </w:rPr>
            </w:pP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相关</w:t>
            </w:r>
            <w:r>
              <w:rPr>
                <w:rFonts w:ascii="仿宋_GB2312" w:hAnsi="Times New Roman" w:eastAsia="仿宋_GB2312"/>
                <w:sz w:val="28"/>
                <w:szCs w:val="28"/>
              </w:rPr>
              <w:t>产品市场：</w:t>
            </w:r>
            <w:r>
              <w:rPr>
                <w:rFonts w:hint="eastAsia" w:ascii="仿宋_GB2312" w:hAnsi="Times New Roman" w:eastAsia="仿宋_GB2312"/>
                <w:sz w:val="28"/>
                <w:szCs w:val="28"/>
              </w:rPr>
              <w:t>室内装饰服务</w:t>
            </w:r>
            <w:r>
              <w:rPr>
                <w:rFonts w:ascii="仿宋_GB2312" w:hAnsi="Times New Roman" w:eastAsia="仿宋_GB2312"/>
                <w:sz w:val="28"/>
                <w:szCs w:val="28"/>
              </w:rPr>
              <w:t>市场；</w:t>
            </w:r>
            <w:r>
              <w:rPr>
                <w:rFonts w:hint="eastAsia" w:ascii="仿宋_GB2312" w:hAnsi="Times New Roman" w:eastAsia="仿宋_GB2312"/>
                <w:sz w:val="28"/>
                <w:szCs w:val="28"/>
              </w:rPr>
              <w:t>（下游）</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相关</w:t>
            </w:r>
            <w:r>
              <w:rPr>
                <w:rFonts w:ascii="仿宋_GB2312" w:hAnsi="Times New Roman" w:eastAsia="仿宋_GB2312"/>
                <w:sz w:val="28"/>
                <w:szCs w:val="28"/>
              </w:rPr>
              <w:t>地域市场：</w:t>
            </w:r>
            <w:r>
              <w:rPr>
                <w:rFonts w:hint="eastAsia" w:ascii="仿宋_GB2312" w:hAnsi="Times New Roman" w:eastAsia="仿宋_GB2312"/>
                <w:sz w:val="28"/>
                <w:szCs w:val="28"/>
              </w:rPr>
              <w:t>中国</w:t>
            </w:r>
            <w:r>
              <w:rPr>
                <w:rFonts w:ascii="仿宋_GB2312" w:hAnsi="Times New Roman" w:eastAsia="仿宋_GB2312"/>
                <w:sz w:val="28"/>
                <w:szCs w:val="28"/>
              </w:rPr>
              <w:t>市场；</w:t>
            </w:r>
            <w:bookmarkStart w:id="0" w:name="_GoBack"/>
            <w:bookmarkEnd w:id="0"/>
          </w:p>
          <w:p>
            <w:pPr>
              <w:spacing w:line="500" w:lineRule="exact"/>
              <w:rPr>
                <w:rFonts w:ascii="Times New Roman" w:hAnsi="Times New Roman" w:eastAsia="仿宋_GB2312"/>
                <w:sz w:val="28"/>
                <w:szCs w:val="28"/>
              </w:rPr>
            </w:pPr>
            <w:r>
              <w:rPr>
                <w:rFonts w:hint="eastAsia" w:ascii="仿宋_GB2312" w:hAnsi="Times New Roman" w:eastAsia="仿宋_GB2312"/>
                <w:sz w:val="28"/>
                <w:szCs w:val="28"/>
              </w:rPr>
              <w:t>市场</w:t>
            </w:r>
            <w:r>
              <w:rPr>
                <w:rFonts w:ascii="仿宋_GB2312" w:hAnsi="Times New Roman" w:eastAsia="仿宋_GB2312"/>
                <w:sz w:val="28"/>
                <w:szCs w:val="28"/>
              </w:rPr>
              <w:t>份额：</w:t>
            </w:r>
            <w:r>
              <w:rPr>
                <w:rFonts w:hint="eastAsia" w:ascii="仿宋_GB2312" w:hAnsi="Times New Roman" w:eastAsia="仿宋_GB2312"/>
                <w:sz w:val="28"/>
                <w:szCs w:val="28"/>
              </w:rPr>
              <w:t>天安新材：[0-5]%；</w:t>
            </w:r>
          </w:p>
        </w:tc>
      </w:tr>
    </w:tbl>
    <w:p>
      <w:pPr>
        <w:snapToGrid w:val="0"/>
        <w:spacing w:line="240" w:lineRule="exact"/>
        <w:jc w:val="left"/>
        <w:rPr>
          <w:rFonts w:ascii="楷体_GB2312" w:hAnsi="宋体" w:eastAsia="楷体_GB2312"/>
          <w:sz w:val="24"/>
          <w:szCs w:val="24"/>
        </w:rPr>
      </w:pPr>
    </w:p>
    <w:p/>
    <w:sectPr>
      <w:footerReference r:id="rId3" w:type="default"/>
      <w:pgSz w:w="11906" w:h="16838"/>
      <w:pgMar w:top="1440" w:right="1800" w:bottom="1440" w:left="1800" w:header="851" w:footer="992" w:gutter="0"/>
      <w:pgNumType w:start="46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imes New Roman" w:hAnsi="Times New Roman"/>
        <w:sz w:val="24"/>
      </w:rPr>
    </w:pPr>
  </w:p>
  <w:p>
    <w:pPr>
      <w:pStyle w:val="6"/>
      <w:rPr>
        <w:rFonts w:ascii="Times New Roman" w:hAnsi="Times New Roman"/>
        <w:sz w:val="24"/>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0A1C"/>
    <w:rsid w:val="000206FA"/>
    <w:rsid w:val="0003413B"/>
    <w:rsid w:val="00094095"/>
    <w:rsid w:val="000B0904"/>
    <w:rsid w:val="000F772C"/>
    <w:rsid w:val="00123E50"/>
    <w:rsid w:val="0013100D"/>
    <w:rsid w:val="00142C62"/>
    <w:rsid w:val="001444E1"/>
    <w:rsid w:val="00144ACE"/>
    <w:rsid w:val="001730FA"/>
    <w:rsid w:val="001823D6"/>
    <w:rsid w:val="001A378F"/>
    <w:rsid w:val="00204088"/>
    <w:rsid w:val="00245776"/>
    <w:rsid w:val="0025289F"/>
    <w:rsid w:val="0025388D"/>
    <w:rsid w:val="0025768F"/>
    <w:rsid w:val="002615B3"/>
    <w:rsid w:val="00264024"/>
    <w:rsid w:val="00270884"/>
    <w:rsid w:val="002B7F6E"/>
    <w:rsid w:val="002C73CD"/>
    <w:rsid w:val="002F2D60"/>
    <w:rsid w:val="002F4FCD"/>
    <w:rsid w:val="00307976"/>
    <w:rsid w:val="00375753"/>
    <w:rsid w:val="0037675E"/>
    <w:rsid w:val="00376967"/>
    <w:rsid w:val="003C1CC3"/>
    <w:rsid w:val="003C3393"/>
    <w:rsid w:val="003C54A4"/>
    <w:rsid w:val="003E5959"/>
    <w:rsid w:val="004503DD"/>
    <w:rsid w:val="004529E6"/>
    <w:rsid w:val="00462174"/>
    <w:rsid w:val="00483C97"/>
    <w:rsid w:val="004D6318"/>
    <w:rsid w:val="004E2FFF"/>
    <w:rsid w:val="004E751D"/>
    <w:rsid w:val="005414E2"/>
    <w:rsid w:val="00567EC9"/>
    <w:rsid w:val="00575A66"/>
    <w:rsid w:val="00576968"/>
    <w:rsid w:val="005948E2"/>
    <w:rsid w:val="005A092C"/>
    <w:rsid w:val="005B2C11"/>
    <w:rsid w:val="005B7BA3"/>
    <w:rsid w:val="005D6E60"/>
    <w:rsid w:val="005F167B"/>
    <w:rsid w:val="0062406B"/>
    <w:rsid w:val="00637232"/>
    <w:rsid w:val="00651AB1"/>
    <w:rsid w:val="00681702"/>
    <w:rsid w:val="00682308"/>
    <w:rsid w:val="007026A4"/>
    <w:rsid w:val="00713A3B"/>
    <w:rsid w:val="007313F0"/>
    <w:rsid w:val="00760221"/>
    <w:rsid w:val="0078762D"/>
    <w:rsid w:val="007B0AD5"/>
    <w:rsid w:val="007E2DAE"/>
    <w:rsid w:val="00811FC5"/>
    <w:rsid w:val="0082031E"/>
    <w:rsid w:val="00824DAE"/>
    <w:rsid w:val="0089305D"/>
    <w:rsid w:val="008B7411"/>
    <w:rsid w:val="008C4EA5"/>
    <w:rsid w:val="008D18A4"/>
    <w:rsid w:val="008D3F0D"/>
    <w:rsid w:val="008E147E"/>
    <w:rsid w:val="009014D9"/>
    <w:rsid w:val="0090692D"/>
    <w:rsid w:val="0091287D"/>
    <w:rsid w:val="00914D65"/>
    <w:rsid w:val="009854A1"/>
    <w:rsid w:val="009959ED"/>
    <w:rsid w:val="009E3551"/>
    <w:rsid w:val="009E475A"/>
    <w:rsid w:val="009F6392"/>
    <w:rsid w:val="00A00F18"/>
    <w:rsid w:val="00A44DD9"/>
    <w:rsid w:val="00A8159B"/>
    <w:rsid w:val="00A852EF"/>
    <w:rsid w:val="00AB1370"/>
    <w:rsid w:val="00AD346C"/>
    <w:rsid w:val="00B0534A"/>
    <w:rsid w:val="00B5626D"/>
    <w:rsid w:val="00B61128"/>
    <w:rsid w:val="00B76295"/>
    <w:rsid w:val="00B850C6"/>
    <w:rsid w:val="00BA0750"/>
    <w:rsid w:val="00BA3F55"/>
    <w:rsid w:val="00BB2377"/>
    <w:rsid w:val="00BC26C3"/>
    <w:rsid w:val="00BC6CA5"/>
    <w:rsid w:val="00BD1348"/>
    <w:rsid w:val="00BF47E7"/>
    <w:rsid w:val="00C00270"/>
    <w:rsid w:val="00C26E00"/>
    <w:rsid w:val="00C53209"/>
    <w:rsid w:val="00C768AF"/>
    <w:rsid w:val="00C9068E"/>
    <w:rsid w:val="00CC2BD0"/>
    <w:rsid w:val="00CD0FDE"/>
    <w:rsid w:val="00CD478D"/>
    <w:rsid w:val="00CE0059"/>
    <w:rsid w:val="00CE1FEA"/>
    <w:rsid w:val="00CE373B"/>
    <w:rsid w:val="00CF780C"/>
    <w:rsid w:val="00D13AD0"/>
    <w:rsid w:val="00D21777"/>
    <w:rsid w:val="00D251DB"/>
    <w:rsid w:val="00D47287"/>
    <w:rsid w:val="00D476DD"/>
    <w:rsid w:val="00DA6CDC"/>
    <w:rsid w:val="00DC00A8"/>
    <w:rsid w:val="00DD3BC9"/>
    <w:rsid w:val="00DD6EA1"/>
    <w:rsid w:val="00DE1849"/>
    <w:rsid w:val="00DE1AC8"/>
    <w:rsid w:val="00DE2982"/>
    <w:rsid w:val="00DF7472"/>
    <w:rsid w:val="00E0382C"/>
    <w:rsid w:val="00E4620B"/>
    <w:rsid w:val="00E51C5C"/>
    <w:rsid w:val="00E8174D"/>
    <w:rsid w:val="00E82DAB"/>
    <w:rsid w:val="00ED21B1"/>
    <w:rsid w:val="00ED6D0C"/>
    <w:rsid w:val="00EF178F"/>
    <w:rsid w:val="00EF1D90"/>
    <w:rsid w:val="00EF5400"/>
    <w:rsid w:val="00F10920"/>
    <w:rsid w:val="00F679C0"/>
    <w:rsid w:val="00F71EE5"/>
    <w:rsid w:val="00F87C1F"/>
    <w:rsid w:val="00FE71F8"/>
    <w:rsid w:val="19E1FEE9"/>
    <w:rsid w:val="5CA127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2">
    <w:name w:val="annotation subject"/>
    <w:basedOn w:val="3"/>
    <w:next w:val="3"/>
    <w:link w:val="17"/>
    <w:semiHidden/>
    <w:unhideWhenUsed/>
    <w:uiPriority w:val="99"/>
    <w:rPr>
      <w:b/>
      <w:bCs/>
    </w:rPr>
  </w:style>
  <w:style w:type="paragraph" w:styleId="3">
    <w:name w:val="annotation text"/>
    <w:basedOn w:val="1"/>
    <w:link w:val="16"/>
    <w:unhideWhenUsed/>
    <w:qFormat/>
    <w:uiPriority w:val="99"/>
    <w:pPr>
      <w:jc w:val="left"/>
    </w:pPr>
  </w:style>
  <w:style w:type="paragraph" w:styleId="4">
    <w:name w:val="endnote text"/>
    <w:basedOn w:val="1"/>
    <w:link w:val="13"/>
    <w:semiHidden/>
    <w:unhideWhenUsed/>
    <w:uiPriority w:val="99"/>
    <w:pPr>
      <w:snapToGrid w:val="0"/>
      <w:jc w:val="left"/>
    </w:pPr>
  </w:style>
  <w:style w:type="paragraph" w:styleId="5">
    <w:name w:val="Balloon Text"/>
    <w:basedOn w:val="1"/>
    <w:link w:val="18"/>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endnote reference"/>
    <w:semiHidden/>
    <w:unhideWhenUsed/>
    <w:uiPriority w:val="99"/>
    <w:rPr>
      <w:vertAlign w:val="superscript"/>
    </w:rPr>
  </w:style>
  <w:style w:type="character" w:styleId="10">
    <w:name w:val="annotation reference"/>
    <w:basedOn w:val="8"/>
    <w:semiHidden/>
    <w:unhideWhenUsed/>
    <w:qFormat/>
    <w:uiPriority w:val="99"/>
    <w:rPr>
      <w:sz w:val="21"/>
      <w:szCs w:val="21"/>
    </w:rPr>
  </w:style>
  <w:style w:type="table" w:styleId="12">
    <w:name w:val="Table Grid"/>
    <w:basedOn w:val="1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3">
    <w:name w:val="尾注文本 字符"/>
    <w:basedOn w:val="8"/>
    <w:link w:val="4"/>
    <w:semiHidden/>
    <w:uiPriority w:val="99"/>
  </w:style>
  <w:style w:type="character" w:customStyle="1" w:styleId="14">
    <w:name w:val="页眉 字符"/>
    <w:link w:val="7"/>
    <w:uiPriority w:val="99"/>
    <w:rPr>
      <w:sz w:val="18"/>
      <w:szCs w:val="18"/>
    </w:rPr>
  </w:style>
  <w:style w:type="character" w:customStyle="1" w:styleId="15">
    <w:name w:val="页脚 字符"/>
    <w:link w:val="6"/>
    <w:qFormat/>
    <w:uiPriority w:val="99"/>
    <w:rPr>
      <w:sz w:val="18"/>
      <w:szCs w:val="18"/>
    </w:rPr>
  </w:style>
  <w:style w:type="character" w:customStyle="1" w:styleId="16">
    <w:name w:val="批注文字 字符"/>
    <w:basedOn w:val="8"/>
    <w:link w:val="3"/>
    <w:qFormat/>
    <w:uiPriority w:val="99"/>
    <w:rPr>
      <w:kern w:val="2"/>
      <w:sz w:val="21"/>
      <w:szCs w:val="22"/>
    </w:rPr>
  </w:style>
  <w:style w:type="character" w:customStyle="1" w:styleId="17">
    <w:name w:val="批注主题 字符"/>
    <w:basedOn w:val="16"/>
    <w:link w:val="2"/>
    <w:semiHidden/>
    <w:uiPriority w:val="99"/>
    <w:rPr>
      <w:b/>
      <w:bCs/>
      <w:kern w:val="2"/>
      <w:sz w:val="21"/>
      <w:szCs w:val="22"/>
    </w:rPr>
  </w:style>
  <w:style w:type="character" w:customStyle="1" w:styleId="18">
    <w:name w:val="批注框文本 字符"/>
    <w:basedOn w:val="8"/>
    <w:link w:val="5"/>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DE3A8B-EBD9-4EC6-9CED-D00060D0ACB1}">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164</Words>
  <Characters>937</Characters>
  <Lines>7</Lines>
  <Paragraphs>2</Paragraphs>
  <TotalTime>200</TotalTime>
  <ScaleCrop>false</ScaleCrop>
  <LinksUpToDate>false</LinksUpToDate>
  <CharactersWithSpaces>1099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2019-06-14T13:16:00Z</dcterms:created>
  <dc:creator>dell</dc:creator>
  <cp:lastModifiedBy>Lenovo</cp:lastModifiedBy>
  <cp:lastPrinted>2014-10-08T02:48:00Z</cp:lastPrinted>
  <dcterms:modified xsi:type="dcterms:W3CDTF">2021-04-16T09:25:02Z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