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157" w:afterLines="50" w:line="440" w:lineRule="exact"/>
        <w:jc w:val="center"/>
        <w:textAlignment w:val="auto"/>
        <w:rPr>
          <w:rFonts w:ascii="Times New Roman" w:hAnsi="Times New Roman" w:eastAsia="仿宋"/>
          <w:sz w:val="28"/>
          <w:szCs w:val="28"/>
        </w:rPr>
      </w:pPr>
      <w:r>
        <w:rPr>
          <w:rFonts w:ascii="Times New Roman" w:hAnsi="仿宋" w:eastAsia="仿宋"/>
          <w:b/>
          <w:sz w:val="30"/>
          <w:szCs w:val="30"/>
        </w:rPr>
        <w:t>经营者集中简易案件公示表</w:t>
      </w: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1560"/>
        <w:gridCol w:w="54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b/>
                <w:sz w:val="24"/>
                <w:szCs w:val="24"/>
              </w:rPr>
            </w:pPr>
            <w:r>
              <w:rPr>
                <w:rFonts w:ascii="Times New Roman" w:hAnsi="仿宋" w:eastAsia="仿宋"/>
                <w:b/>
                <w:sz w:val="24"/>
                <w:szCs w:val="24"/>
              </w:rPr>
              <w:t>案件名称</w:t>
            </w:r>
          </w:p>
        </w:tc>
        <w:tc>
          <w:tcPr>
            <w:tcW w:w="7035" w:type="dxa"/>
            <w:gridSpan w:val="2"/>
            <w:vAlign w:val="center"/>
          </w:tcPr>
          <w:p>
            <w:pPr>
              <w:keepNext w:val="0"/>
              <w:keepLines w:val="0"/>
              <w:pageBreakBefore w:val="0"/>
              <w:widowControl/>
              <w:kinsoku/>
              <w:wordWrap/>
              <w:overflowPunct/>
              <w:topLinePunct w:val="0"/>
              <w:autoSpaceDE/>
              <w:autoSpaceDN/>
              <w:bidi w:val="0"/>
              <w:adjustRightInd/>
              <w:snapToGrid w:val="0"/>
              <w:spacing w:line="390" w:lineRule="exact"/>
              <w:jc w:val="left"/>
              <w:textAlignment w:val="auto"/>
              <w:rPr>
                <w:rFonts w:ascii="Times New Roman" w:hAnsi="Times New Roman" w:eastAsia="仿宋"/>
                <w:b/>
                <w:i/>
                <w:sz w:val="24"/>
                <w:szCs w:val="24"/>
              </w:rPr>
            </w:pPr>
            <w:r>
              <w:rPr>
                <w:rFonts w:hint="eastAsia" w:ascii="Times New Roman" w:hAnsi="仿宋" w:eastAsia="仿宋" w:cs="Times New Roman"/>
                <w:sz w:val="24"/>
                <w:szCs w:val="24"/>
                <w:lang w:eastAsia="zh-Hans"/>
              </w:rPr>
              <w:t>株洲高科集团有限公司</w:t>
            </w:r>
            <w:r>
              <w:rPr>
                <w:rFonts w:hint="eastAsia" w:ascii="Times New Roman" w:hAnsi="仿宋" w:eastAsia="仿宋" w:cs="Times New Roman"/>
                <w:sz w:val="24"/>
                <w:szCs w:val="24"/>
                <w:lang w:eastAsia="zh-CN"/>
              </w:rPr>
              <w:t>（</w:t>
            </w:r>
            <w:r>
              <w:rPr>
                <w:rFonts w:hint="eastAsia" w:ascii="Times New Roman" w:hAnsi="仿宋" w:eastAsia="仿宋" w:cs="Times New Roman"/>
                <w:sz w:val="24"/>
                <w:szCs w:val="24"/>
                <w:lang w:val="en-US" w:eastAsia="zh-CN"/>
              </w:rPr>
              <w:t>以下简称“株洲高科”）</w:t>
            </w:r>
            <w:r>
              <w:rPr>
                <w:rFonts w:hint="eastAsia" w:ascii="Times New Roman" w:hAnsi="仿宋" w:eastAsia="仿宋" w:cs="Times New Roman"/>
                <w:sz w:val="24"/>
                <w:szCs w:val="24"/>
                <w:lang w:eastAsia="zh-Hans"/>
              </w:rPr>
              <w:t>收购江门市科恒实业股份有限公司</w:t>
            </w:r>
            <w:r>
              <w:rPr>
                <w:rFonts w:hint="eastAsia" w:ascii="Times New Roman" w:hAnsi="仿宋" w:eastAsia="仿宋" w:cs="Times New Roman"/>
                <w:sz w:val="24"/>
                <w:szCs w:val="24"/>
                <w:lang w:eastAsia="zh-CN"/>
              </w:rPr>
              <w:t>（</w:t>
            </w:r>
            <w:r>
              <w:rPr>
                <w:rFonts w:hint="eastAsia" w:ascii="Times New Roman" w:hAnsi="仿宋" w:eastAsia="仿宋" w:cs="Times New Roman"/>
                <w:sz w:val="24"/>
                <w:szCs w:val="24"/>
                <w:lang w:val="en-US" w:eastAsia="zh-CN"/>
              </w:rPr>
              <w:t>以下简称“科恒股份”）</w:t>
            </w:r>
            <w:r>
              <w:rPr>
                <w:rFonts w:hint="eastAsia" w:ascii="Times New Roman" w:hAnsi="仿宋" w:eastAsia="仿宋" w:cs="Times New Roman"/>
                <w:sz w:val="24"/>
                <w:szCs w:val="24"/>
                <w:lang w:eastAsia="zh-Hans"/>
              </w:rPr>
              <w:t>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23" w:type="dxa"/>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b/>
                <w:sz w:val="24"/>
                <w:szCs w:val="24"/>
              </w:rPr>
            </w:pPr>
            <w:r>
              <w:rPr>
                <w:rFonts w:ascii="Times New Roman" w:hAnsi="仿宋" w:eastAsia="仿宋"/>
                <w:b/>
                <w:sz w:val="24"/>
                <w:szCs w:val="24"/>
              </w:rPr>
              <w:t>交易概况（限</w:t>
            </w:r>
            <w:r>
              <w:rPr>
                <w:rFonts w:ascii="Times New Roman" w:hAnsi="Times New Roman" w:eastAsia="仿宋"/>
                <w:b/>
                <w:sz w:val="24"/>
                <w:szCs w:val="24"/>
              </w:rPr>
              <w:t>200</w:t>
            </w:r>
            <w:r>
              <w:rPr>
                <w:rFonts w:ascii="Times New Roman" w:hAnsi="仿宋" w:eastAsia="仿宋"/>
                <w:b/>
                <w:sz w:val="24"/>
                <w:szCs w:val="24"/>
              </w:rPr>
              <w:t>字内）</w:t>
            </w:r>
          </w:p>
        </w:tc>
        <w:tc>
          <w:tcPr>
            <w:tcW w:w="7035" w:type="dxa"/>
            <w:gridSpan w:val="2"/>
            <w:vAlign w:val="center"/>
          </w:tcPr>
          <w:p>
            <w:pPr>
              <w:keepNext w:val="0"/>
              <w:keepLines w:val="0"/>
              <w:pageBreakBefore w:val="0"/>
              <w:widowControl/>
              <w:kinsoku/>
              <w:wordWrap/>
              <w:overflowPunct/>
              <w:topLinePunct w:val="0"/>
              <w:autoSpaceDE/>
              <w:autoSpaceDN/>
              <w:bidi w:val="0"/>
              <w:adjustRightInd/>
              <w:snapToGrid w:val="0"/>
              <w:spacing w:line="390" w:lineRule="exact"/>
              <w:jc w:val="both"/>
              <w:textAlignment w:val="auto"/>
              <w:rPr>
                <w:rFonts w:hint="default" w:ascii="Times New Roman" w:hAnsi="仿宋" w:eastAsia="仿宋"/>
                <w:sz w:val="24"/>
                <w:szCs w:val="24"/>
                <w:lang w:val="en-US"/>
              </w:rPr>
            </w:pPr>
            <w:r>
              <w:rPr>
                <w:rFonts w:hint="eastAsia" w:ascii="Times New Roman" w:hAnsi="仿宋" w:eastAsia="仿宋" w:cs="Times New Roman"/>
                <w:sz w:val="24"/>
                <w:szCs w:val="24"/>
                <w:lang w:val="en-US" w:eastAsia="zh-CN"/>
              </w:rPr>
              <w:t>株洲高科通过协议受让科恒股份实际控制人万国江及其一致行动人唐芬合计持有的科恒股份12,500,000股股份（占科恒股份当前总股本的5.89%）和以不超过700,000,000元现金认购科恒股份拟发行的不超过63,405,797股股份取得科恒股份的实际控制权，交易完成后，株洲高科将合计持有科恒股份 75,905,797 股，占科恒股份发行后总股本的 27.55%。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1723" w:type="dxa"/>
            <w:vMerge w:val="restart"/>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b/>
                <w:sz w:val="24"/>
                <w:szCs w:val="24"/>
              </w:rPr>
            </w:pPr>
            <w:r>
              <w:rPr>
                <w:rFonts w:ascii="Times New Roman" w:hAnsi="仿宋" w:eastAsia="仿宋"/>
                <w:b/>
                <w:sz w:val="24"/>
                <w:szCs w:val="24"/>
              </w:rPr>
              <w:t>参与集中的经营者简介</w:t>
            </w:r>
          </w:p>
        </w:tc>
        <w:tc>
          <w:tcPr>
            <w:tcW w:w="1560" w:type="dxa"/>
            <w:vAlign w:val="center"/>
          </w:tcPr>
          <w:p>
            <w:pPr>
              <w:keepNext w:val="0"/>
              <w:keepLines w:val="0"/>
              <w:pageBreakBefore w:val="0"/>
              <w:widowControl/>
              <w:kinsoku/>
              <w:wordWrap/>
              <w:overflowPunct/>
              <w:topLinePunct w:val="0"/>
              <w:autoSpaceDE/>
              <w:autoSpaceDN/>
              <w:bidi w:val="0"/>
              <w:adjustRightInd/>
              <w:snapToGrid w:val="0"/>
              <w:spacing w:line="390" w:lineRule="exact"/>
              <w:jc w:val="left"/>
              <w:textAlignment w:val="auto"/>
              <w:rPr>
                <w:rFonts w:hint="default" w:ascii="Times New Roman" w:hAnsi="Times New Roman" w:eastAsia="仿宋"/>
                <w:sz w:val="24"/>
                <w:szCs w:val="24"/>
                <w:lang w:val="en-US" w:eastAsia="zh-CN"/>
              </w:rPr>
            </w:pPr>
            <w:r>
              <w:rPr>
                <w:rFonts w:ascii="Times New Roman" w:hAnsi="Times New Roman" w:eastAsia="仿宋"/>
                <w:sz w:val="24"/>
                <w:szCs w:val="24"/>
              </w:rPr>
              <w:t>1</w:t>
            </w:r>
            <w:r>
              <w:rPr>
                <w:rFonts w:ascii="Times New Roman" w:hAnsi="仿宋" w:eastAsia="仿宋"/>
                <w:sz w:val="24"/>
                <w:szCs w:val="24"/>
              </w:rPr>
              <w:t>、</w:t>
            </w:r>
            <w:r>
              <w:rPr>
                <w:rFonts w:hint="eastAsia" w:ascii="Times New Roman" w:hAnsi="仿宋" w:eastAsia="仿宋"/>
                <w:sz w:val="24"/>
                <w:szCs w:val="24"/>
                <w:lang w:val="en-US" w:eastAsia="zh-CN"/>
              </w:rPr>
              <w:t>株洲高科</w:t>
            </w:r>
          </w:p>
        </w:tc>
        <w:tc>
          <w:tcPr>
            <w:tcW w:w="5475" w:type="dxa"/>
            <w:vAlign w:val="center"/>
          </w:tcPr>
          <w:p>
            <w:pPr>
              <w:keepNext w:val="0"/>
              <w:keepLines w:val="0"/>
              <w:pageBreakBefore w:val="0"/>
              <w:widowControl/>
              <w:kinsoku/>
              <w:wordWrap/>
              <w:overflowPunct/>
              <w:topLinePunct w:val="0"/>
              <w:autoSpaceDE/>
              <w:autoSpaceDN/>
              <w:bidi w:val="0"/>
              <w:adjustRightInd/>
              <w:snapToGrid w:val="0"/>
              <w:spacing w:line="390" w:lineRule="exact"/>
              <w:jc w:val="left"/>
              <w:textAlignment w:val="auto"/>
              <w:rPr>
                <w:rFonts w:hint="eastAsia" w:eastAsia="宋体"/>
                <w:sz w:val="24"/>
                <w:lang w:val="en-US" w:eastAsia="zh-CN"/>
              </w:rPr>
            </w:pPr>
            <w:r>
              <w:rPr>
                <w:rFonts w:hint="eastAsia" w:ascii="Times New Roman" w:hAnsi="仿宋" w:eastAsia="仿宋" w:cs="Times New Roman"/>
                <w:sz w:val="24"/>
                <w:szCs w:val="24"/>
                <w:lang w:val="en-US" w:eastAsia="zh-CN"/>
              </w:rPr>
              <w:t>株洲高科成立于1999年3月17日，主要在中国境内开展以下业务：土地开发整理、房屋销售、物业管理、建设工程、服务类收入及其他。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723" w:type="dxa"/>
            <w:vMerge w:val="continue"/>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仿宋" w:eastAsia="仿宋"/>
                <w:b/>
                <w:sz w:val="24"/>
                <w:szCs w:val="24"/>
              </w:rPr>
            </w:pPr>
          </w:p>
        </w:tc>
        <w:tc>
          <w:tcPr>
            <w:tcW w:w="1560" w:type="dxa"/>
            <w:vAlign w:val="center"/>
          </w:tcPr>
          <w:p>
            <w:pPr>
              <w:keepNext w:val="0"/>
              <w:keepLines w:val="0"/>
              <w:pageBreakBefore w:val="0"/>
              <w:widowControl/>
              <w:kinsoku/>
              <w:wordWrap/>
              <w:overflowPunct/>
              <w:topLinePunct w:val="0"/>
              <w:autoSpaceDE/>
              <w:autoSpaceDN/>
              <w:bidi w:val="0"/>
              <w:adjustRightInd/>
              <w:snapToGrid w:val="0"/>
              <w:spacing w:line="390" w:lineRule="exact"/>
              <w:textAlignment w:val="auto"/>
              <w:rPr>
                <w:rFonts w:ascii="Times New Roman" w:hAnsi="Times New Roman" w:eastAsia="仿宋"/>
                <w:sz w:val="24"/>
                <w:szCs w:val="24"/>
              </w:rPr>
            </w:pPr>
            <w:r>
              <w:rPr>
                <w:rFonts w:ascii="Times New Roman" w:hAnsi="Times New Roman" w:eastAsia="仿宋"/>
                <w:sz w:val="24"/>
                <w:szCs w:val="24"/>
              </w:rPr>
              <w:t>2</w:t>
            </w:r>
            <w:r>
              <w:rPr>
                <w:rFonts w:ascii="Times New Roman" w:hAnsi="仿宋" w:eastAsia="仿宋"/>
                <w:sz w:val="24"/>
                <w:szCs w:val="24"/>
              </w:rPr>
              <w:t>、</w:t>
            </w:r>
            <w:r>
              <w:rPr>
                <w:rFonts w:hint="eastAsia" w:ascii="Times New Roman" w:hAnsi="仿宋" w:eastAsia="仿宋"/>
                <w:sz w:val="24"/>
                <w:szCs w:val="24"/>
                <w:lang w:val="en-US" w:eastAsia="zh-CN"/>
              </w:rPr>
              <w:t>科恒股份</w:t>
            </w:r>
          </w:p>
        </w:tc>
        <w:tc>
          <w:tcPr>
            <w:tcW w:w="5475" w:type="dxa"/>
            <w:vAlign w:val="center"/>
          </w:tcPr>
          <w:p>
            <w:pPr>
              <w:keepNext w:val="0"/>
              <w:keepLines w:val="0"/>
              <w:pageBreakBefore w:val="0"/>
              <w:widowControl/>
              <w:kinsoku/>
              <w:wordWrap/>
              <w:overflowPunct/>
              <w:topLinePunct w:val="0"/>
              <w:autoSpaceDE/>
              <w:autoSpaceDN/>
              <w:bidi w:val="0"/>
              <w:adjustRightInd/>
              <w:snapToGrid w:val="0"/>
              <w:spacing w:line="390" w:lineRule="exact"/>
              <w:jc w:val="left"/>
              <w:textAlignment w:val="auto"/>
              <w:rPr>
                <w:rFonts w:hint="default" w:ascii="Times New Roman" w:hAnsi="仿宋" w:eastAsia="宋体" w:cs="Times New Roman"/>
                <w:sz w:val="24"/>
                <w:szCs w:val="24"/>
                <w:lang w:val="en-US" w:eastAsia="zh-CN"/>
              </w:rPr>
            </w:pPr>
            <w:r>
              <w:rPr>
                <w:rFonts w:hint="eastAsia" w:ascii="Times New Roman" w:hAnsi="仿宋" w:eastAsia="仿宋" w:cs="Times New Roman"/>
                <w:sz w:val="24"/>
                <w:szCs w:val="24"/>
                <w:lang w:val="en-US" w:eastAsia="zh-CN"/>
              </w:rPr>
              <w:t>科恒股份成立于2000年9月12日，主要在中国境内开展锂离子电池正极材料、锂离子电池自动化生产设备的研发、生产与销售业务。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723" w:type="dxa"/>
            <w:vMerge w:val="restart"/>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b/>
                <w:sz w:val="24"/>
                <w:szCs w:val="24"/>
              </w:rPr>
            </w:pPr>
            <w:r>
              <w:rPr>
                <w:rFonts w:ascii="Times New Roman" w:hAnsi="仿宋" w:eastAsia="仿宋"/>
                <w:b/>
                <w:sz w:val="24"/>
                <w:szCs w:val="24"/>
              </w:rPr>
              <w:t>简易案件理由（可以单选，也可以多选）</w:t>
            </w:r>
          </w:p>
        </w:tc>
        <w:tc>
          <w:tcPr>
            <w:tcW w:w="7035" w:type="dxa"/>
            <w:gridSpan w:val="2"/>
            <w:vAlign w:val="center"/>
          </w:tcPr>
          <w:p>
            <w:pPr>
              <w:keepNext w:val="0"/>
              <w:keepLines w:val="0"/>
              <w:pageBreakBefore w:val="0"/>
              <w:widowControl w:val="0"/>
              <w:kinsoku/>
              <w:wordWrap/>
              <w:overflowPunct/>
              <w:topLinePunct w:val="0"/>
              <w:autoSpaceDE/>
              <w:autoSpaceDN/>
              <w:bidi w:val="0"/>
              <w:adjustRightInd/>
              <w:snapToGrid/>
              <w:spacing w:line="390" w:lineRule="exact"/>
              <w:textAlignment w:val="auto"/>
              <w:rPr>
                <w:rFonts w:ascii="Times New Roman" w:hAnsi="Times New Roman" w:eastAsia="仿宋"/>
                <w:sz w:val="24"/>
                <w:szCs w:val="24"/>
              </w:rPr>
            </w:pPr>
            <w:r>
              <w:rPr>
                <w:rFonts w:ascii="Times New Roman" w:hAnsi="Times New Roman" w:eastAsia="仿宋"/>
                <w:sz w:val="24"/>
                <w:szCs w:val="24"/>
              </w:rPr>
              <w:sym w:font="Wingdings" w:char="00A8"/>
            </w:r>
            <w:r>
              <w:rPr>
                <w:rFonts w:ascii="Times New Roman" w:hAnsi="Times New Roman" w:eastAsia="仿宋"/>
                <w:sz w:val="24"/>
                <w:szCs w:val="24"/>
              </w:rPr>
              <w:t>1</w:t>
            </w:r>
            <w:r>
              <w:rPr>
                <w:rFonts w:ascii="Times New Roman" w:hAnsi="仿宋" w:eastAsia="仿宋"/>
                <w:sz w:val="24"/>
                <w:szCs w:val="24"/>
              </w:rPr>
              <w:t>、在同一相关市场，所有参与集中的经营者所占市场份额之和小于</w:t>
            </w:r>
            <w:r>
              <w:rPr>
                <w:rFonts w:ascii="Times New Roman" w:hAnsi="Times New Roman" w:eastAsia="仿宋"/>
                <w:sz w:val="24"/>
                <w:szCs w:val="24"/>
              </w:rPr>
              <w:t>15%</w:t>
            </w:r>
            <w:r>
              <w:rPr>
                <w:rFonts w:ascii="Times New Roman" w:hAnsi="仿宋" w:eastAsia="仿宋"/>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723" w:type="dxa"/>
            <w:vMerge w:val="continue"/>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sz w:val="24"/>
                <w:szCs w:val="24"/>
              </w:rPr>
            </w:pPr>
          </w:p>
        </w:tc>
        <w:tc>
          <w:tcPr>
            <w:tcW w:w="7035" w:type="dxa"/>
            <w:gridSpan w:val="2"/>
            <w:vAlign w:val="center"/>
          </w:tcPr>
          <w:p>
            <w:pPr>
              <w:keepNext w:val="0"/>
              <w:keepLines w:val="0"/>
              <w:pageBreakBefore w:val="0"/>
              <w:widowControl w:val="0"/>
              <w:kinsoku/>
              <w:wordWrap/>
              <w:overflowPunct/>
              <w:topLinePunct w:val="0"/>
              <w:autoSpaceDE/>
              <w:autoSpaceDN/>
              <w:bidi w:val="0"/>
              <w:adjustRightInd/>
              <w:snapToGrid/>
              <w:spacing w:line="390" w:lineRule="exact"/>
              <w:textAlignment w:val="auto"/>
              <w:rPr>
                <w:rFonts w:ascii="Times New Roman" w:hAnsi="Times New Roman" w:eastAsia="仿宋"/>
                <w:sz w:val="24"/>
                <w:szCs w:val="24"/>
              </w:rPr>
            </w:pPr>
            <w:r>
              <w:rPr>
                <w:rFonts w:ascii="Times New Roman" w:hAnsi="Times New Roman" w:eastAsia="仿宋"/>
                <w:sz w:val="24"/>
                <w:szCs w:val="24"/>
              </w:rPr>
              <w:sym w:font="Wingdings" w:char="00A8"/>
            </w:r>
            <w:r>
              <w:rPr>
                <w:rFonts w:ascii="Times New Roman" w:hAnsi="Times New Roman" w:eastAsia="仿宋"/>
                <w:sz w:val="24"/>
                <w:szCs w:val="24"/>
              </w:rPr>
              <w:t>2</w:t>
            </w:r>
            <w:r>
              <w:rPr>
                <w:rFonts w:ascii="Times New Roman" w:hAnsi="仿宋" w:eastAsia="仿宋"/>
                <w:sz w:val="24"/>
                <w:szCs w:val="24"/>
              </w:rPr>
              <w:t>、存在上下游关系的参与集中的经营者，在上下游市场所占的市场份额均小于</w:t>
            </w:r>
            <w:r>
              <w:rPr>
                <w:rFonts w:ascii="Times New Roman" w:hAnsi="Times New Roman" w:eastAsia="仿宋"/>
                <w:sz w:val="24"/>
                <w:szCs w:val="24"/>
              </w:rPr>
              <w:t>25%</w:t>
            </w:r>
            <w:r>
              <w:rPr>
                <w:rFonts w:ascii="Times New Roman" w:hAnsi="仿宋" w:eastAsia="仿宋"/>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23" w:type="dxa"/>
            <w:vMerge w:val="continue"/>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sz w:val="24"/>
                <w:szCs w:val="24"/>
              </w:rPr>
            </w:pPr>
          </w:p>
        </w:tc>
        <w:tc>
          <w:tcPr>
            <w:tcW w:w="7035" w:type="dxa"/>
            <w:gridSpan w:val="2"/>
            <w:vAlign w:val="center"/>
          </w:tcPr>
          <w:p>
            <w:pPr>
              <w:keepNext w:val="0"/>
              <w:keepLines w:val="0"/>
              <w:pageBreakBefore w:val="0"/>
              <w:widowControl w:val="0"/>
              <w:kinsoku/>
              <w:wordWrap/>
              <w:overflowPunct/>
              <w:topLinePunct w:val="0"/>
              <w:autoSpaceDE/>
              <w:autoSpaceDN/>
              <w:bidi w:val="0"/>
              <w:adjustRightInd/>
              <w:snapToGrid/>
              <w:spacing w:line="390" w:lineRule="exact"/>
              <w:textAlignment w:val="auto"/>
              <w:rPr>
                <w:rFonts w:ascii="Times New Roman" w:hAnsi="Times New Roman" w:eastAsia="仿宋"/>
                <w:sz w:val="24"/>
                <w:szCs w:val="24"/>
              </w:rPr>
            </w:pPr>
            <w:r>
              <w:rPr>
                <w:rFonts w:ascii="Times New Roman" w:hAnsi="Times New Roman" w:eastAsia="仿宋_GB2312"/>
                <w:color w:val="333333"/>
                <w:kern w:val="0"/>
                <w:sz w:val="24"/>
                <w:szCs w:val="24"/>
              </w:rPr>
              <w:sym w:font="Wingdings" w:char="F0FE"/>
            </w:r>
            <w:r>
              <w:rPr>
                <w:rFonts w:ascii="Times New Roman" w:hAnsi="Times New Roman" w:eastAsia="仿宋"/>
                <w:sz w:val="24"/>
                <w:szCs w:val="24"/>
              </w:rPr>
              <w:t>3</w:t>
            </w:r>
            <w:r>
              <w:rPr>
                <w:rFonts w:ascii="Times New Roman" w:hAnsi="仿宋" w:eastAsia="仿宋"/>
                <w:sz w:val="24"/>
                <w:szCs w:val="24"/>
              </w:rPr>
              <w:t>、不在同一相关市场、也不存在上下游关系的参与集中的经营者，在与交易有关的每个市场</w:t>
            </w:r>
            <w:bookmarkStart w:id="0" w:name="_GoBack"/>
            <w:bookmarkEnd w:id="0"/>
            <w:r>
              <w:rPr>
                <w:rFonts w:ascii="Times New Roman" w:hAnsi="仿宋" w:eastAsia="仿宋"/>
                <w:sz w:val="24"/>
                <w:szCs w:val="24"/>
              </w:rPr>
              <w:t>所占的份额均小于</w:t>
            </w:r>
            <w:r>
              <w:rPr>
                <w:rFonts w:ascii="Times New Roman" w:hAnsi="Times New Roman" w:eastAsia="仿宋"/>
                <w:sz w:val="24"/>
                <w:szCs w:val="24"/>
              </w:rPr>
              <w:t>25%</w:t>
            </w:r>
            <w:r>
              <w:rPr>
                <w:rFonts w:ascii="Times New Roman" w:hAnsi="仿宋" w:eastAsia="仿宋"/>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723" w:type="dxa"/>
            <w:vMerge w:val="continue"/>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sz w:val="24"/>
                <w:szCs w:val="24"/>
              </w:rPr>
            </w:pPr>
          </w:p>
        </w:tc>
        <w:tc>
          <w:tcPr>
            <w:tcW w:w="7035" w:type="dxa"/>
            <w:gridSpan w:val="2"/>
            <w:vAlign w:val="center"/>
          </w:tcPr>
          <w:p>
            <w:pPr>
              <w:keepNext w:val="0"/>
              <w:keepLines w:val="0"/>
              <w:pageBreakBefore w:val="0"/>
              <w:widowControl w:val="0"/>
              <w:kinsoku/>
              <w:wordWrap/>
              <w:overflowPunct/>
              <w:topLinePunct w:val="0"/>
              <w:autoSpaceDE/>
              <w:autoSpaceDN/>
              <w:bidi w:val="0"/>
              <w:adjustRightInd/>
              <w:snapToGrid/>
              <w:spacing w:line="390" w:lineRule="exact"/>
              <w:textAlignment w:val="auto"/>
              <w:rPr>
                <w:rFonts w:ascii="Times New Roman" w:hAnsi="Times New Roman" w:eastAsia="仿宋"/>
                <w:sz w:val="24"/>
                <w:szCs w:val="24"/>
              </w:rPr>
            </w:pPr>
            <w:r>
              <w:rPr>
                <w:rFonts w:ascii="Times New Roman" w:hAnsi="Times New Roman" w:eastAsia="仿宋"/>
                <w:sz w:val="24"/>
                <w:szCs w:val="24"/>
              </w:rPr>
              <w:sym w:font="Wingdings" w:char="00A8"/>
            </w:r>
            <w:r>
              <w:rPr>
                <w:rFonts w:ascii="Times New Roman" w:hAnsi="Times New Roman" w:eastAsia="仿宋"/>
                <w:sz w:val="24"/>
                <w:szCs w:val="24"/>
              </w:rPr>
              <w:t>4</w:t>
            </w:r>
            <w:r>
              <w:rPr>
                <w:rFonts w:ascii="Times New Roman" w:hAnsi="仿宋" w:eastAsia="仿宋"/>
                <w:sz w:val="24"/>
                <w:szCs w:val="24"/>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23" w:type="dxa"/>
            <w:vMerge w:val="continue"/>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sz w:val="24"/>
                <w:szCs w:val="24"/>
              </w:rPr>
            </w:pPr>
          </w:p>
        </w:tc>
        <w:tc>
          <w:tcPr>
            <w:tcW w:w="7035" w:type="dxa"/>
            <w:gridSpan w:val="2"/>
            <w:vAlign w:val="center"/>
          </w:tcPr>
          <w:p>
            <w:pPr>
              <w:keepNext w:val="0"/>
              <w:keepLines w:val="0"/>
              <w:pageBreakBefore w:val="0"/>
              <w:widowControl w:val="0"/>
              <w:kinsoku/>
              <w:wordWrap/>
              <w:overflowPunct/>
              <w:topLinePunct w:val="0"/>
              <w:autoSpaceDE/>
              <w:autoSpaceDN/>
              <w:bidi w:val="0"/>
              <w:adjustRightInd/>
              <w:snapToGrid/>
              <w:spacing w:line="390" w:lineRule="exact"/>
              <w:textAlignment w:val="auto"/>
              <w:rPr>
                <w:rFonts w:ascii="Times New Roman" w:hAnsi="Times New Roman" w:eastAsia="仿宋"/>
                <w:sz w:val="24"/>
                <w:szCs w:val="24"/>
              </w:rPr>
            </w:pPr>
            <w:r>
              <w:rPr>
                <w:rFonts w:ascii="Times New Roman" w:hAnsi="Times New Roman" w:eastAsia="仿宋"/>
                <w:sz w:val="24"/>
                <w:szCs w:val="24"/>
              </w:rPr>
              <w:sym w:font="Wingdings" w:char="00A8"/>
            </w:r>
            <w:r>
              <w:rPr>
                <w:rFonts w:ascii="Times New Roman" w:hAnsi="Times New Roman" w:eastAsia="仿宋"/>
                <w:sz w:val="24"/>
                <w:szCs w:val="24"/>
              </w:rPr>
              <w:t>5</w:t>
            </w:r>
            <w:r>
              <w:rPr>
                <w:rFonts w:ascii="Times New Roman" w:hAnsi="仿宋" w:eastAsia="仿宋"/>
                <w:sz w:val="24"/>
                <w:szCs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723" w:type="dxa"/>
            <w:vMerge w:val="continue"/>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sz w:val="24"/>
                <w:szCs w:val="24"/>
              </w:rPr>
            </w:pPr>
          </w:p>
        </w:tc>
        <w:tc>
          <w:tcPr>
            <w:tcW w:w="7035" w:type="dxa"/>
            <w:gridSpan w:val="2"/>
            <w:vAlign w:val="center"/>
          </w:tcPr>
          <w:p>
            <w:pPr>
              <w:keepNext w:val="0"/>
              <w:keepLines w:val="0"/>
              <w:pageBreakBefore w:val="0"/>
              <w:kinsoku/>
              <w:wordWrap/>
              <w:overflowPunct/>
              <w:topLinePunct w:val="0"/>
              <w:autoSpaceDE/>
              <w:autoSpaceDN/>
              <w:bidi w:val="0"/>
              <w:adjustRightInd/>
              <w:spacing w:line="390" w:lineRule="exact"/>
              <w:textAlignment w:val="auto"/>
              <w:rPr>
                <w:rFonts w:ascii="Times New Roman" w:hAnsi="Times New Roman" w:eastAsia="仿宋"/>
                <w:sz w:val="24"/>
                <w:szCs w:val="24"/>
              </w:rPr>
            </w:pPr>
            <w:r>
              <w:rPr>
                <w:rFonts w:ascii="Times New Roman" w:hAnsi="Times New Roman" w:eastAsia="仿宋"/>
                <w:sz w:val="24"/>
                <w:szCs w:val="24"/>
              </w:rPr>
              <w:sym w:font="Wingdings" w:char="00A8"/>
            </w:r>
            <w:r>
              <w:rPr>
                <w:rFonts w:ascii="Times New Roman" w:hAnsi="Times New Roman" w:eastAsia="仿宋"/>
                <w:sz w:val="24"/>
                <w:szCs w:val="24"/>
              </w:rPr>
              <w:t>6</w:t>
            </w:r>
            <w:r>
              <w:rPr>
                <w:rFonts w:ascii="Times New Roman" w:hAnsi="仿宋" w:eastAsia="仿宋"/>
                <w:sz w:val="24"/>
                <w:szCs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shd w:val="clear" w:color="auto" w:fill="D9D9D9"/>
            <w:vAlign w:val="center"/>
          </w:tcPr>
          <w:p>
            <w:pPr>
              <w:keepNext w:val="0"/>
              <w:keepLines w:val="0"/>
              <w:pageBreakBefore w:val="0"/>
              <w:kinsoku/>
              <w:wordWrap/>
              <w:overflowPunct/>
              <w:topLinePunct w:val="0"/>
              <w:autoSpaceDE/>
              <w:autoSpaceDN/>
              <w:bidi w:val="0"/>
              <w:adjustRightInd/>
              <w:spacing w:line="390" w:lineRule="exact"/>
              <w:jc w:val="center"/>
              <w:textAlignment w:val="auto"/>
              <w:rPr>
                <w:rFonts w:ascii="Times New Roman" w:hAnsi="Times New Roman" w:eastAsia="仿宋"/>
                <w:b/>
                <w:sz w:val="24"/>
                <w:szCs w:val="24"/>
              </w:rPr>
            </w:pPr>
            <w:r>
              <w:rPr>
                <w:rFonts w:ascii="Times New Roman" w:hAnsi="仿宋" w:eastAsia="仿宋"/>
                <w:b/>
                <w:sz w:val="24"/>
                <w:szCs w:val="24"/>
              </w:rPr>
              <w:t>备注</w:t>
            </w:r>
          </w:p>
        </w:tc>
        <w:tc>
          <w:tcPr>
            <w:tcW w:w="7035" w:type="dxa"/>
            <w:gridSpan w:val="2"/>
            <w:vAlign w:val="center"/>
          </w:tcPr>
          <w:p>
            <w:pPr>
              <w:keepNext w:val="0"/>
              <w:keepLines w:val="0"/>
              <w:pageBreakBefore w:val="0"/>
              <w:kinsoku/>
              <w:wordWrap/>
              <w:overflowPunct/>
              <w:topLinePunct w:val="0"/>
              <w:autoSpaceDE/>
              <w:autoSpaceDN/>
              <w:bidi w:val="0"/>
              <w:adjustRightInd/>
              <w:spacing w:line="390" w:lineRule="exact"/>
              <w:textAlignment w:val="auto"/>
              <w:rPr>
                <w:rFonts w:hint="eastAsia"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1、相关商品市场：锂电池三元正极材料市场</w:t>
            </w:r>
          </w:p>
          <w:p>
            <w:pPr>
              <w:keepNext w:val="0"/>
              <w:keepLines w:val="0"/>
              <w:pageBreakBefore w:val="0"/>
              <w:widowControl w:val="0"/>
              <w:kinsoku/>
              <w:wordWrap/>
              <w:overflowPunct/>
              <w:topLinePunct w:val="0"/>
              <w:autoSpaceDE/>
              <w:autoSpaceDN/>
              <w:bidi w:val="0"/>
              <w:adjustRightInd/>
              <w:snapToGrid/>
              <w:spacing w:line="390" w:lineRule="exact"/>
              <w:ind w:left="315" w:leftChars="150"/>
              <w:textAlignment w:val="auto"/>
              <w:rPr>
                <w:rFonts w:hint="eastAsia"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相关地域市场：中国市场</w:t>
            </w:r>
          </w:p>
          <w:p>
            <w:pPr>
              <w:keepNext w:val="0"/>
              <w:keepLines w:val="0"/>
              <w:pageBreakBefore w:val="0"/>
              <w:widowControl w:val="0"/>
              <w:kinsoku/>
              <w:wordWrap/>
              <w:overflowPunct/>
              <w:topLinePunct w:val="0"/>
              <w:autoSpaceDE/>
              <w:autoSpaceDN/>
              <w:bidi w:val="0"/>
              <w:adjustRightInd/>
              <w:snapToGrid/>
              <w:spacing w:line="390" w:lineRule="exact"/>
              <w:ind w:left="1515" w:leftChars="150" w:hanging="1200" w:hangingChars="500"/>
              <w:textAlignment w:val="auto"/>
              <w:rPr>
                <w:rFonts w:hint="eastAsia" w:ascii="Times New Roman" w:hAnsi="仿宋" w:eastAsia="仿宋"/>
                <w:sz w:val="24"/>
                <w:szCs w:val="24"/>
              </w:rPr>
            </w:pPr>
            <w:r>
              <w:rPr>
                <w:rFonts w:hint="eastAsia" w:ascii="Times New Roman" w:hAnsi="仿宋" w:eastAsia="仿宋" w:cs="Times New Roman"/>
                <w:sz w:val="24"/>
                <w:szCs w:val="24"/>
                <w:lang w:val="en-US" w:eastAsia="zh-CN"/>
              </w:rPr>
              <w:t>市场份额：科恒股份</w:t>
            </w:r>
            <w:r>
              <w:rPr>
                <w:rFonts w:hint="eastAsia" w:ascii="Times New Roman" w:hAnsi="仿宋" w:eastAsia="仿宋"/>
                <w:sz w:val="24"/>
                <w:szCs w:val="24"/>
              </w:rPr>
              <w:t>[</w:t>
            </w:r>
            <w:r>
              <w:rPr>
                <w:rFonts w:ascii="Times New Roman" w:hAnsi="仿宋" w:eastAsia="仿宋"/>
                <w:sz w:val="24"/>
                <w:szCs w:val="24"/>
              </w:rPr>
              <w:t>0-5]</w:t>
            </w:r>
            <w:r>
              <w:rPr>
                <w:rFonts w:hint="eastAsia" w:ascii="Times New Roman" w:hAnsi="仿宋" w:eastAsia="仿宋"/>
                <w:sz w:val="24"/>
                <w:szCs w:val="24"/>
              </w:rPr>
              <w:t>%</w:t>
            </w:r>
            <w:r>
              <w:rPr>
                <w:rFonts w:hint="eastAsia" w:ascii="Times New Roman" w:hAnsi="仿宋" w:eastAsia="仿宋"/>
                <w:sz w:val="24"/>
                <w:szCs w:val="24"/>
                <w:lang w:eastAsia="zh-CN"/>
              </w:rPr>
              <w:t>，</w:t>
            </w:r>
            <w:r>
              <w:rPr>
                <w:rFonts w:hint="eastAsia" w:ascii="Times New Roman" w:hAnsi="仿宋" w:eastAsia="仿宋"/>
                <w:sz w:val="24"/>
                <w:szCs w:val="24"/>
                <w:lang w:val="en-US" w:eastAsia="zh-CN"/>
              </w:rPr>
              <w:t>株洲高科0</w:t>
            </w:r>
            <w:r>
              <w:rPr>
                <w:rFonts w:hint="eastAsia" w:ascii="Times New Roman" w:hAnsi="仿宋" w:eastAsia="仿宋"/>
                <w:sz w:val="24"/>
                <w:szCs w:val="24"/>
              </w:rPr>
              <w:t>%</w:t>
            </w:r>
            <w:r>
              <w:rPr>
                <w:rFonts w:hint="eastAsia" w:ascii="Times New Roman" w:hAnsi="仿宋" w:eastAsia="仿宋"/>
                <w:sz w:val="24"/>
                <w:szCs w:val="24"/>
                <w:lang w:eastAsia="zh-CN"/>
              </w:rPr>
              <w:t>，</w:t>
            </w:r>
            <w:r>
              <w:rPr>
                <w:rFonts w:hint="eastAsia" w:ascii="Times New Roman" w:hAnsi="仿宋" w:eastAsia="仿宋"/>
                <w:sz w:val="24"/>
                <w:szCs w:val="24"/>
                <w:lang w:val="en-US" w:eastAsia="zh-CN"/>
              </w:rPr>
              <w:t>交易双方合计</w:t>
            </w:r>
            <w:r>
              <w:rPr>
                <w:rFonts w:hint="eastAsia" w:ascii="Times New Roman" w:hAnsi="仿宋" w:eastAsia="仿宋"/>
                <w:sz w:val="24"/>
                <w:szCs w:val="24"/>
              </w:rPr>
              <w:t>[</w:t>
            </w:r>
            <w:r>
              <w:rPr>
                <w:rFonts w:hint="eastAsia" w:ascii="Times New Roman" w:hAnsi="仿宋" w:eastAsia="仿宋"/>
                <w:sz w:val="24"/>
                <w:szCs w:val="24"/>
                <w:lang w:val="en-US" w:eastAsia="zh-CN"/>
              </w:rPr>
              <w:t>0</w:t>
            </w:r>
            <w:r>
              <w:rPr>
                <w:rFonts w:hint="eastAsia" w:ascii="Times New Roman" w:hAnsi="仿宋" w:eastAsia="仿宋"/>
                <w:sz w:val="24"/>
                <w:szCs w:val="24"/>
              </w:rPr>
              <w:t>-</w:t>
            </w:r>
            <w:r>
              <w:rPr>
                <w:rFonts w:hint="eastAsia" w:ascii="Times New Roman" w:hAnsi="仿宋" w:eastAsia="仿宋"/>
                <w:sz w:val="24"/>
                <w:szCs w:val="24"/>
                <w:lang w:val="en-US" w:eastAsia="zh-CN"/>
              </w:rPr>
              <w:t>5</w:t>
            </w:r>
            <w:r>
              <w:rPr>
                <w:rFonts w:ascii="Times New Roman" w:hAnsi="仿宋" w:eastAsia="仿宋"/>
                <w:sz w:val="24"/>
                <w:szCs w:val="24"/>
              </w:rPr>
              <w:t>]</w:t>
            </w:r>
            <w:r>
              <w:rPr>
                <w:rFonts w:hint="eastAsia" w:ascii="Times New Roman" w:hAnsi="仿宋" w:eastAsia="仿宋"/>
                <w:sz w:val="24"/>
                <w:szCs w:val="24"/>
              </w:rPr>
              <w:t>%</w:t>
            </w:r>
          </w:p>
          <w:p>
            <w:pPr>
              <w:keepNext w:val="0"/>
              <w:keepLines w:val="0"/>
              <w:pageBreakBefore w:val="0"/>
              <w:kinsoku/>
              <w:wordWrap/>
              <w:overflowPunct/>
              <w:topLinePunct w:val="0"/>
              <w:autoSpaceDE/>
              <w:autoSpaceDN/>
              <w:bidi w:val="0"/>
              <w:adjustRightInd/>
              <w:spacing w:line="390" w:lineRule="exact"/>
              <w:textAlignment w:val="auto"/>
              <w:rPr>
                <w:rFonts w:hint="eastAsia" w:ascii="Times New Roman" w:hAnsi="仿宋" w:eastAsia="仿宋" w:cs="Times New Roman"/>
                <w:sz w:val="24"/>
                <w:szCs w:val="24"/>
                <w:lang w:val="en-US" w:eastAsia="zh-CN"/>
              </w:rPr>
            </w:pPr>
            <w:r>
              <w:rPr>
                <w:rFonts w:hint="eastAsia" w:ascii="Times New Roman" w:hAnsi="仿宋" w:eastAsia="仿宋"/>
                <w:sz w:val="24"/>
                <w:szCs w:val="24"/>
                <w:lang w:val="en-US" w:eastAsia="zh-CN"/>
              </w:rPr>
              <w:t>2、</w:t>
            </w:r>
            <w:r>
              <w:rPr>
                <w:rFonts w:hint="eastAsia" w:ascii="Times New Roman" w:hAnsi="仿宋" w:eastAsia="仿宋" w:cs="Times New Roman"/>
                <w:sz w:val="24"/>
                <w:szCs w:val="24"/>
                <w:lang w:val="en-US" w:eastAsia="zh-CN"/>
              </w:rPr>
              <w:t>相关商品市场：锂电池前端生产设备</w:t>
            </w:r>
          </w:p>
          <w:p>
            <w:pPr>
              <w:keepNext w:val="0"/>
              <w:keepLines w:val="0"/>
              <w:pageBreakBefore w:val="0"/>
              <w:widowControl w:val="0"/>
              <w:kinsoku/>
              <w:wordWrap/>
              <w:overflowPunct/>
              <w:topLinePunct w:val="0"/>
              <w:autoSpaceDE/>
              <w:autoSpaceDN/>
              <w:bidi w:val="0"/>
              <w:adjustRightInd/>
              <w:snapToGrid/>
              <w:spacing w:line="390" w:lineRule="exact"/>
              <w:ind w:left="315" w:leftChars="150"/>
              <w:textAlignment w:val="auto"/>
              <w:rPr>
                <w:rFonts w:hint="eastAsia"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相关地域市场：中国市场</w:t>
            </w:r>
          </w:p>
          <w:p>
            <w:pPr>
              <w:keepNext w:val="0"/>
              <w:keepLines w:val="0"/>
              <w:pageBreakBefore w:val="0"/>
              <w:widowControl w:val="0"/>
              <w:kinsoku/>
              <w:wordWrap/>
              <w:overflowPunct/>
              <w:topLinePunct w:val="0"/>
              <w:autoSpaceDE/>
              <w:autoSpaceDN/>
              <w:bidi w:val="0"/>
              <w:adjustRightInd/>
              <w:snapToGrid/>
              <w:spacing w:line="390" w:lineRule="exact"/>
              <w:ind w:left="1515" w:leftChars="150" w:hanging="1200" w:hangingChars="500"/>
              <w:textAlignment w:val="auto"/>
              <w:rPr>
                <w:rFonts w:hint="eastAsia" w:ascii="Times New Roman" w:hAnsi="仿宋" w:eastAsia="仿宋"/>
                <w:sz w:val="24"/>
                <w:szCs w:val="24"/>
                <w:lang w:val="en-US" w:eastAsia="zh-CN"/>
              </w:rPr>
            </w:pPr>
            <w:r>
              <w:rPr>
                <w:rFonts w:hint="eastAsia" w:ascii="Times New Roman" w:hAnsi="仿宋" w:eastAsia="仿宋" w:cs="Times New Roman"/>
                <w:sz w:val="24"/>
                <w:szCs w:val="24"/>
                <w:lang w:val="en-US" w:eastAsia="zh-CN"/>
              </w:rPr>
              <w:t>市场份额：科恒股份</w:t>
            </w:r>
            <w:r>
              <w:rPr>
                <w:rFonts w:hint="eastAsia" w:ascii="Times New Roman" w:hAnsi="仿宋" w:eastAsia="仿宋"/>
                <w:sz w:val="24"/>
                <w:szCs w:val="24"/>
              </w:rPr>
              <w:t>[</w:t>
            </w:r>
            <w:r>
              <w:rPr>
                <w:rFonts w:hint="eastAsia" w:ascii="Times New Roman" w:hAnsi="仿宋" w:eastAsia="仿宋"/>
                <w:sz w:val="24"/>
                <w:szCs w:val="24"/>
                <w:lang w:val="en-US" w:eastAsia="zh-CN"/>
              </w:rPr>
              <w:t>1</w:t>
            </w:r>
            <w:r>
              <w:rPr>
                <w:rFonts w:ascii="Times New Roman" w:hAnsi="仿宋" w:eastAsia="仿宋"/>
                <w:sz w:val="24"/>
                <w:szCs w:val="24"/>
              </w:rPr>
              <w:t>0-</w:t>
            </w:r>
            <w:r>
              <w:rPr>
                <w:rFonts w:hint="eastAsia" w:ascii="Times New Roman" w:hAnsi="仿宋" w:eastAsia="仿宋"/>
                <w:sz w:val="24"/>
                <w:szCs w:val="24"/>
                <w:lang w:val="en-US" w:eastAsia="zh-CN"/>
              </w:rPr>
              <w:t>1</w:t>
            </w:r>
            <w:r>
              <w:rPr>
                <w:rFonts w:ascii="Times New Roman" w:hAnsi="仿宋" w:eastAsia="仿宋"/>
                <w:sz w:val="24"/>
                <w:szCs w:val="24"/>
              </w:rPr>
              <w:t>5]</w:t>
            </w:r>
            <w:r>
              <w:rPr>
                <w:rFonts w:hint="eastAsia" w:ascii="Times New Roman" w:hAnsi="仿宋" w:eastAsia="仿宋"/>
                <w:sz w:val="24"/>
                <w:szCs w:val="24"/>
              </w:rPr>
              <w:t>%</w:t>
            </w:r>
            <w:r>
              <w:rPr>
                <w:rFonts w:hint="eastAsia" w:ascii="Times New Roman" w:hAnsi="仿宋" w:eastAsia="仿宋"/>
                <w:sz w:val="24"/>
                <w:szCs w:val="24"/>
                <w:lang w:eastAsia="zh-CN"/>
              </w:rPr>
              <w:t>，</w:t>
            </w:r>
            <w:r>
              <w:rPr>
                <w:rFonts w:hint="eastAsia" w:ascii="Times New Roman" w:hAnsi="仿宋" w:eastAsia="仿宋"/>
                <w:sz w:val="24"/>
                <w:szCs w:val="24"/>
                <w:lang w:val="en-US" w:eastAsia="zh-CN"/>
              </w:rPr>
              <w:t>株洲高科0</w:t>
            </w:r>
            <w:r>
              <w:rPr>
                <w:rFonts w:hint="eastAsia" w:ascii="Times New Roman" w:hAnsi="仿宋" w:eastAsia="仿宋"/>
                <w:sz w:val="24"/>
                <w:szCs w:val="24"/>
              </w:rPr>
              <w:t>%</w:t>
            </w:r>
            <w:r>
              <w:rPr>
                <w:rFonts w:hint="eastAsia" w:ascii="Times New Roman" w:hAnsi="仿宋" w:eastAsia="仿宋"/>
                <w:sz w:val="24"/>
                <w:szCs w:val="24"/>
                <w:lang w:eastAsia="zh-CN"/>
              </w:rPr>
              <w:t>，</w:t>
            </w:r>
            <w:r>
              <w:rPr>
                <w:rFonts w:hint="eastAsia" w:ascii="Times New Roman" w:hAnsi="仿宋" w:eastAsia="仿宋"/>
                <w:sz w:val="24"/>
                <w:szCs w:val="24"/>
                <w:lang w:val="en-US" w:eastAsia="zh-CN"/>
              </w:rPr>
              <w:t>交易双方合计</w:t>
            </w:r>
            <w:r>
              <w:rPr>
                <w:rFonts w:hint="eastAsia" w:ascii="Times New Roman" w:hAnsi="仿宋" w:eastAsia="仿宋"/>
                <w:sz w:val="24"/>
                <w:szCs w:val="24"/>
              </w:rPr>
              <w:t>[</w:t>
            </w:r>
            <w:r>
              <w:rPr>
                <w:rFonts w:hint="eastAsia" w:ascii="Times New Roman" w:hAnsi="仿宋" w:eastAsia="仿宋"/>
                <w:sz w:val="24"/>
                <w:szCs w:val="24"/>
                <w:lang w:val="en-US" w:eastAsia="zh-CN"/>
              </w:rPr>
              <w:t>10</w:t>
            </w:r>
            <w:r>
              <w:rPr>
                <w:rFonts w:hint="eastAsia" w:ascii="Times New Roman" w:hAnsi="仿宋" w:eastAsia="仿宋"/>
                <w:sz w:val="24"/>
                <w:szCs w:val="24"/>
              </w:rPr>
              <w:t>-1</w:t>
            </w:r>
            <w:r>
              <w:rPr>
                <w:rFonts w:hint="eastAsia" w:ascii="Times New Roman" w:hAnsi="仿宋" w:eastAsia="仿宋"/>
                <w:sz w:val="24"/>
                <w:szCs w:val="24"/>
                <w:lang w:val="en-US" w:eastAsia="zh-CN"/>
              </w:rPr>
              <w:t>5</w:t>
            </w:r>
            <w:r>
              <w:rPr>
                <w:rFonts w:ascii="Times New Roman" w:hAnsi="仿宋" w:eastAsia="仿宋"/>
                <w:sz w:val="24"/>
                <w:szCs w:val="24"/>
              </w:rPr>
              <w:t>]</w:t>
            </w:r>
            <w:r>
              <w:rPr>
                <w:rFonts w:hint="eastAsia" w:ascii="Times New Roman" w:hAnsi="仿宋" w:eastAsia="仿宋"/>
                <w:sz w:val="24"/>
                <w:szCs w:val="24"/>
              </w:rPr>
              <w:t>%</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注解：</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仿宋" w:eastAsia="仿宋" w:cs="Times New Roman"/>
          <w:sz w:val="24"/>
          <w:szCs w:val="24"/>
          <w:lang w:val="en-US" w:eastAsia="zh-CN"/>
        </w:rPr>
      </w:pPr>
      <w:r>
        <w:rPr>
          <w:rFonts w:hint="eastAsia" w:ascii="Times New Roman" w:hAnsi="仿宋" w:eastAsia="仿宋" w:cs="Times New Roman"/>
          <w:sz w:val="24"/>
          <w:szCs w:val="24"/>
          <w:lang w:val="en-US" w:eastAsia="zh-CN"/>
        </w:rPr>
        <w:t>2、申报方申请简易案件的理由是基于第4项、第5项时，无须在备注中说明相关市场和市场份额。</w:t>
      </w:r>
      <w:r>
        <w:rPr>
          <w:rFonts w:hint="eastAsia" w:ascii="Times New Roman" w:hAnsi="仿宋" w:eastAsia="仿宋" w:cs="Times New Roman"/>
          <w:sz w:val="24"/>
          <w:szCs w:val="24"/>
          <w:lang w:val="en-US" w:eastAsia="zh-CN"/>
        </w:rPr>
        <w:br w:type="textWrapping"/>
      </w:r>
      <w:r>
        <w:rPr>
          <w:rFonts w:hint="eastAsia" w:ascii="Times New Roman" w:hAnsi="仿宋" w:eastAsia="仿宋" w:cs="Times New Roman"/>
          <w:sz w:val="24"/>
          <w:szCs w:val="24"/>
          <w:lang w:val="en-US" w:eastAsia="zh-CN"/>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snapToGrid w:val="0"/>
        <w:spacing w:line="240" w:lineRule="exact"/>
        <w:jc w:val="left"/>
        <w:rPr>
          <w:rFonts w:ascii="Times New Roman" w:hAnsi="Times New Roman" w:eastAsia="仿宋"/>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Wingdings 2">
    <w:altName w:val="Wingdings"/>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12C3"/>
    <w:rsid w:val="0001527C"/>
    <w:rsid w:val="0002196F"/>
    <w:rsid w:val="00024D63"/>
    <w:rsid w:val="00044452"/>
    <w:rsid w:val="00051F6D"/>
    <w:rsid w:val="0005551D"/>
    <w:rsid w:val="00071AD2"/>
    <w:rsid w:val="00076663"/>
    <w:rsid w:val="00080FBF"/>
    <w:rsid w:val="00094095"/>
    <w:rsid w:val="000B1D7A"/>
    <w:rsid w:val="000B525B"/>
    <w:rsid w:val="000D0BBB"/>
    <w:rsid w:val="000E3542"/>
    <w:rsid w:val="000E72A6"/>
    <w:rsid w:val="000F266C"/>
    <w:rsid w:val="000F7BA2"/>
    <w:rsid w:val="00144035"/>
    <w:rsid w:val="00150A91"/>
    <w:rsid w:val="001546F2"/>
    <w:rsid w:val="00156B3F"/>
    <w:rsid w:val="001818CA"/>
    <w:rsid w:val="00181D56"/>
    <w:rsid w:val="001A36FB"/>
    <w:rsid w:val="001A6D56"/>
    <w:rsid w:val="001B09F2"/>
    <w:rsid w:val="001C67FD"/>
    <w:rsid w:val="001C6A5F"/>
    <w:rsid w:val="00210BCC"/>
    <w:rsid w:val="00214485"/>
    <w:rsid w:val="00245776"/>
    <w:rsid w:val="00263C77"/>
    <w:rsid w:val="00272AB1"/>
    <w:rsid w:val="00283A78"/>
    <w:rsid w:val="002A540C"/>
    <w:rsid w:val="002B0CB8"/>
    <w:rsid w:val="002C62A9"/>
    <w:rsid w:val="002C6904"/>
    <w:rsid w:val="002D4134"/>
    <w:rsid w:val="002D7907"/>
    <w:rsid w:val="002F2D60"/>
    <w:rsid w:val="0030441E"/>
    <w:rsid w:val="00307976"/>
    <w:rsid w:val="0032398B"/>
    <w:rsid w:val="0033461F"/>
    <w:rsid w:val="0033698A"/>
    <w:rsid w:val="00344ACB"/>
    <w:rsid w:val="003471BB"/>
    <w:rsid w:val="00360048"/>
    <w:rsid w:val="00365DFA"/>
    <w:rsid w:val="00382448"/>
    <w:rsid w:val="00382A42"/>
    <w:rsid w:val="0039003D"/>
    <w:rsid w:val="003A1A4C"/>
    <w:rsid w:val="003B7ED0"/>
    <w:rsid w:val="00407692"/>
    <w:rsid w:val="00427A9F"/>
    <w:rsid w:val="0043240D"/>
    <w:rsid w:val="00445C9E"/>
    <w:rsid w:val="004522EB"/>
    <w:rsid w:val="00457929"/>
    <w:rsid w:val="00462174"/>
    <w:rsid w:val="004636E0"/>
    <w:rsid w:val="00465ED2"/>
    <w:rsid w:val="00470677"/>
    <w:rsid w:val="004A3C1D"/>
    <w:rsid w:val="004A70D9"/>
    <w:rsid w:val="004A7FF9"/>
    <w:rsid w:val="00515783"/>
    <w:rsid w:val="00515FC0"/>
    <w:rsid w:val="0051697A"/>
    <w:rsid w:val="00536D90"/>
    <w:rsid w:val="00543317"/>
    <w:rsid w:val="00557A30"/>
    <w:rsid w:val="005A36C5"/>
    <w:rsid w:val="005C1BA6"/>
    <w:rsid w:val="005C2049"/>
    <w:rsid w:val="005D1E6F"/>
    <w:rsid w:val="005F167B"/>
    <w:rsid w:val="006258F2"/>
    <w:rsid w:val="00633814"/>
    <w:rsid w:val="00636050"/>
    <w:rsid w:val="006376A0"/>
    <w:rsid w:val="006406ED"/>
    <w:rsid w:val="00657368"/>
    <w:rsid w:val="00672B01"/>
    <w:rsid w:val="00681BD3"/>
    <w:rsid w:val="00695458"/>
    <w:rsid w:val="006A2E8E"/>
    <w:rsid w:val="006E36B8"/>
    <w:rsid w:val="006F2A87"/>
    <w:rsid w:val="006F7E90"/>
    <w:rsid w:val="00713275"/>
    <w:rsid w:val="007266BD"/>
    <w:rsid w:val="007560BC"/>
    <w:rsid w:val="00760A24"/>
    <w:rsid w:val="00784F40"/>
    <w:rsid w:val="007C0EBC"/>
    <w:rsid w:val="007C3744"/>
    <w:rsid w:val="007E1851"/>
    <w:rsid w:val="007E1AEA"/>
    <w:rsid w:val="00816833"/>
    <w:rsid w:val="00822FC0"/>
    <w:rsid w:val="008262AC"/>
    <w:rsid w:val="00840CED"/>
    <w:rsid w:val="008439B1"/>
    <w:rsid w:val="00850E5A"/>
    <w:rsid w:val="00856887"/>
    <w:rsid w:val="00864E5A"/>
    <w:rsid w:val="00870B5D"/>
    <w:rsid w:val="008724BE"/>
    <w:rsid w:val="0088587E"/>
    <w:rsid w:val="008927FB"/>
    <w:rsid w:val="008A2D3A"/>
    <w:rsid w:val="008B4600"/>
    <w:rsid w:val="008B7C35"/>
    <w:rsid w:val="008D4593"/>
    <w:rsid w:val="008D7EF4"/>
    <w:rsid w:val="008F0128"/>
    <w:rsid w:val="008F5D41"/>
    <w:rsid w:val="0091058A"/>
    <w:rsid w:val="00911F6A"/>
    <w:rsid w:val="00916449"/>
    <w:rsid w:val="00916701"/>
    <w:rsid w:val="009175FF"/>
    <w:rsid w:val="00957E27"/>
    <w:rsid w:val="00975C91"/>
    <w:rsid w:val="00985EB9"/>
    <w:rsid w:val="009C5D29"/>
    <w:rsid w:val="009D140F"/>
    <w:rsid w:val="009D391D"/>
    <w:rsid w:val="009D7407"/>
    <w:rsid w:val="009E335D"/>
    <w:rsid w:val="009E59C7"/>
    <w:rsid w:val="009F56F8"/>
    <w:rsid w:val="00A07F3C"/>
    <w:rsid w:val="00A1304E"/>
    <w:rsid w:val="00A13E8A"/>
    <w:rsid w:val="00A16214"/>
    <w:rsid w:val="00A24168"/>
    <w:rsid w:val="00A42E3D"/>
    <w:rsid w:val="00A50F20"/>
    <w:rsid w:val="00A74056"/>
    <w:rsid w:val="00A74741"/>
    <w:rsid w:val="00AA090F"/>
    <w:rsid w:val="00AA2265"/>
    <w:rsid w:val="00AA65E3"/>
    <w:rsid w:val="00B248D3"/>
    <w:rsid w:val="00B24DFF"/>
    <w:rsid w:val="00B375D2"/>
    <w:rsid w:val="00B375DB"/>
    <w:rsid w:val="00B5382E"/>
    <w:rsid w:val="00B628DC"/>
    <w:rsid w:val="00BA0750"/>
    <w:rsid w:val="00BA3947"/>
    <w:rsid w:val="00BB16EC"/>
    <w:rsid w:val="00BB2377"/>
    <w:rsid w:val="00BB323E"/>
    <w:rsid w:val="00BC047C"/>
    <w:rsid w:val="00BC3714"/>
    <w:rsid w:val="00BD787F"/>
    <w:rsid w:val="00BF6B87"/>
    <w:rsid w:val="00C02D65"/>
    <w:rsid w:val="00C04FE8"/>
    <w:rsid w:val="00C057FE"/>
    <w:rsid w:val="00C3207E"/>
    <w:rsid w:val="00C33A20"/>
    <w:rsid w:val="00C41AE9"/>
    <w:rsid w:val="00C55B9D"/>
    <w:rsid w:val="00C9068E"/>
    <w:rsid w:val="00C915A3"/>
    <w:rsid w:val="00C91F81"/>
    <w:rsid w:val="00C92AC9"/>
    <w:rsid w:val="00CA5288"/>
    <w:rsid w:val="00CB5066"/>
    <w:rsid w:val="00CB5731"/>
    <w:rsid w:val="00CC4D06"/>
    <w:rsid w:val="00CC6ABF"/>
    <w:rsid w:val="00CD1B86"/>
    <w:rsid w:val="00CF2118"/>
    <w:rsid w:val="00CF522C"/>
    <w:rsid w:val="00D131EB"/>
    <w:rsid w:val="00D21777"/>
    <w:rsid w:val="00D220A0"/>
    <w:rsid w:val="00D26A40"/>
    <w:rsid w:val="00D32FC4"/>
    <w:rsid w:val="00D404A9"/>
    <w:rsid w:val="00D45F21"/>
    <w:rsid w:val="00D7521A"/>
    <w:rsid w:val="00D9028D"/>
    <w:rsid w:val="00D94F5A"/>
    <w:rsid w:val="00D9700E"/>
    <w:rsid w:val="00DA5E07"/>
    <w:rsid w:val="00DD0A04"/>
    <w:rsid w:val="00DE423C"/>
    <w:rsid w:val="00E31506"/>
    <w:rsid w:val="00E423F1"/>
    <w:rsid w:val="00E44AFE"/>
    <w:rsid w:val="00E459CE"/>
    <w:rsid w:val="00E603D6"/>
    <w:rsid w:val="00E8747F"/>
    <w:rsid w:val="00E90073"/>
    <w:rsid w:val="00EA39B0"/>
    <w:rsid w:val="00EB2BC3"/>
    <w:rsid w:val="00EB7DF3"/>
    <w:rsid w:val="00EC426B"/>
    <w:rsid w:val="00ED21B1"/>
    <w:rsid w:val="00EF64F6"/>
    <w:rsid w:val="00F043F8"/>
    <w:rsid w:val="00F04F9B"/>
    <w:rsid w:val="00F27C22"/>
    <w:rsid w:val="00F31CEA"/>
    <w:rsid w:val="00F32BF5"/>
    <w:rsid w:val="00F40A9E"/>
    <w:rsid w:val="00F87C1F"/>
    <w:rsid w:val="00FB6B89"/>
    <w:rsid w:val="00FE14ED"/>
    <w:rsid w:val="100F09EA"/>
    <w:rsid w:val="26FA44F4"/>
    <w:rsid w:val="38911144"/>
    <w:rsid w:val="647A0479"/>
    <w:rsid w:val="657002E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8"/>
    <w:semiHidden/>
    <w:unhideWhenUsed/>
    <w:uiPriority w:val="99"/>
    <w:pPr>
      <w:jc w:val="left"/>
    </w:pPr>
  </w:style>
  <w:style w:type="paragraph" w:styleId="3">
    <w:name w:val="endnote text"/>
    <w:basedOn w:val="1"/>
    <w:link w:val="13"/>
    <w:semiHidden/>
    <w:unhideWhenUsed/>
    <w:uiPriority w:val="99"/>
    <w:pPr>
      <w:snapToGrid w:val="0"/>
      <w:jc w:val="left"/>
    </w:pPr>
  </w:style>
  <w:style w:type="paragraph" w:styleId="4">
    <w:name w:val="Balloon Text"/>
    <w:basedOn w:val="1"/>
    <w:link w:val="17"/>
    <w:semiHidden/>
    <w:unhideWhenUsed/>
    <w:uiPriority w:val="99"/>
    <w:rPr>
      <w:sz w:val="18"/>
      <w:szCs w:val="18"/>
    </w:rPr>
  </w:style>
  <w:style w:type="paragraph" w:styleId="5">
    <w:name w:val="footer"/>
    <w:basedOn w:val="1"/>
    <w:link w:val="15"/>
    <w:unhideWhenUsed/>
    <w:uiPriority w:val="99"/>
    <w:pPr>
      <w:tabs>
        <w:tab w:val="center" w:pos="4153"/>
        <w:tab w:val="right" w:pos="8306"/>
      </w:tabs>
      <w:snapToGrid w:val="0"/>
      <w:jc w:val="left"/>
    </w:pPr>
    <w:rPr>
      <w:kern w:val="0"/>
      <w:sz w:val="18"/>
      <w:szCs w:val="18"/>
      <w:lang w:val="zh-CN" w:eastAsia="zh-CN"/>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kern w:val="0"/>
      <w:sz w:val="18"/>
      <w:szCs w:val="18"/>
      <w:lang w:val="zh-CN" w:eastAsia="zh-CN"/>
    </w:rPr>
  </w:style>
  <w:style w:type="paragraph" w:styleId="7">
    <w:name w:val="annotation subject"/>
    <w:basedOn w:val="2"/>
    <w:next w:val="2"/>
    <w:link w:val="19"/>
    <w:semiHidden/>
    <w:unhideWhenUsed/>
    <w:uiPriority w:val="99"/>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ndnote reference"/>
    <w:semiHidden/>
    <w:unhideWhenUsed/>
    <w:qFormat/>
    <w:uiPriority w:val="99"/>
    <w:rPr>
      <w:vertAlign w:val="superscript"/>
    </w:rPr>
  </w:style>
  <w:style w:type="character" w:styleId="12">
    <w:name w:val="annotation reference"/>
    <w:basedOn w:val="10"/>
    <w:semiHidden/>
    <w:unhideWhenUsed/>
    <w:qFormat/>
    <w:uiPriority w:val="99"/>
    <w:rPr>
      <w:sz w:val="21"/>
      <w:szCs w:val="21"/>
    </w:rPr>
  </w:style>
  <w:style w:type="character" w:customStyle="1" w:styleId="13">
    <w:name w:val="尾注文本 字符"/>
    <w:basedOn w:val="10"/>
    <w:link w:val="3"/>
    <w:semiHidden/>
    <w:qFormat/>
    <w:uiPriority w:val="99"/>
  </w:style>
  <w:style w:type="character" w:customStyle="1" w:styleId="14">
    <w:name w:val="页眉 字符"/>
    <w:link w:val="6"/>
    <w:qFormat/>
    <w:uiPriority w:val="99"/>
    <w:rPr>
      <w:sz w:val="18"/>
      <w:szCs w:val="18"/>
    </w:rPr>
  </w:style>
  <w:style w:type="character" w:customStyle="1" w:styleId="15">
    <w:name w:val="页脚 字符"/>
    <w:link w:val="5"/>
    <w:uiPriority w:val="99"/>
    <w:rPr>
      <w:sz w:val="18"/>
      <w:szCs w:val="18"/>
    </w:rPr>
  </w:style>
  <w:style w:type="paragraph" w:styleId="16">
    <w:name w:val="List Paragraph"/>
    <w:basedOn w:val="1"/>
    <w:qFormat/>
    <w:uiPriority w:val="34"/>
    <w:pPr>
      <w:ind w:firstLine="420" w:firstLineChars="200"/>
    </w:pPr>
  </w:style>
  <w:style w:type="character" w:customStyle="1" w:styleId="17">
    <w:name w:val="批注框文本 字符"/>
    <w:basedOn w:val="10"/>
    <w:link w:val="4"/>
    <w:semiHidden/>
    <w:qFormat/>
    <w:uiPriority w:val="99"/>
    <w:rPr>
      <w:kern w:val="2"/>
      <w:sz w:val="18"/>
      <w:szCs w:val="18"/>
    </w:rPr>
  </w:style>
  <w:style w:type="character" w:customStyle="1" w:styleId="18">
    <w:name w:val="批注文字 字符"/>
    <w:basedOn w:val="10"/>
    <w:link w:val="2"/>
    <w:semiHidden/>
    <w:uiPriority w:val="99"/>
    <w:rPr>
      <w:kern w:val="2"/>
      <w:sz w:val="21"/>
      <w:szCs w:val="22"/>
    </w:rPr>
  </w:style>
  <w:style w:type="character" w:customStyle="1" w:styleId="19">
    <w:name w:val="批注主题 字符"/>
    <w:basedOn w:val="18"/>
    <w:link w:val="7"/>
    <w:semiHidden/>
    <w:uiPriority w:val="99"/>
    <w:rPr>
      <w:b/>
      <w:bCs/>
      <w:kern w:val="2"/>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4556FC-165C-415D-AF4D-74DCC7A55816}">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Pages>
  <Words>120</Words>
  <Characters>690</Characters>
  <Lines>5</Lines>
  <Paragraphs>1</Paragraphs>
  <TotalTime>0</TotalTime>
  <ScaleCrop>false</ScaleCrop>
  <LinksUpToDate>false</LinksUpToDate>
  <CharactersWithSpaces>809</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2021-04-15T06:14:00Z</dcterms:created>
  <dc:creator>dell</dc:creator>
  <cp:lastModifiedBy>然</cp:lastModifiedBy>
  <cp:lastPrinted>2018-04-04T03:32:00Z</cp:lastPrinted>
  <dcterms:modified xsi:type="dcterms:W3CDTF">2021-05-26T06:28:13Z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518C5D09F08B4FA69C57BA9A1D2DDAED</vt:lpwstr>
  </property>
</Properties>
</file>