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F4859E" w14:textId="77777777" w:rsidR="00CB00DF" w:rsidRPr="00EA31AD" w:rsidRDefault="00CB00DF" w:rsidP="00CB00DF">
      <w:pPr>
        <w:spacing w:line="440" w:lineRule="exact"/>
        <w:jc w:val="center"/>
        <w:rPr>
          <w:rFonts w:ascii="Times New Roman" w:eastAsia="仿宋_GB2312" w:hAnsi="Times New Roman"/>
          <w:sz w:val="30"/>
          <w:szCs w:val="30"/>
        </w:rPr>
      </w:pPr>
      <w:r w:rsidRPr="00EA31AD">
        <w:rPr>
          <w:rFonts w:ascii="Times New Roman" w:eastAsia="仿宋_GB2312" w:hAnsi="Times New Roman"/>
          <w:sz w:val="30"/>
          <w:szCs w:val="30"/>
        </w:rPr>
        <w:t>经营者集中简易案件公示表</w:t>
      </w:r>
    </w:p>
    <w:p w14:paraId="4AF485A0" w14:textId="77777777" w:rsidR="00CB00DF" w:rsidRPr="00EA31AD" w:rsidRDefault="00CB00DF" w:rsidP="00CB00DF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EA31AD" w14:paraId="4AF485A3" w14:textId="77777777" w:rsidTr="00CB00DF">
        <w:tc>
          <w:tcPr>
            <w:tcW w:w="1809" w:type="dxa"/>
            <w:shd w:val="clear" w:color="auto" w:fill="D9D9D9"/>
            <w:vAlign w:val="center"/>
          </w:tcPr>
          <w:p w14:paraId="4AF485A1" w14:textId="77777777" w:rsidR="00CB00DF" w:rsidRPr="00EA31AD" w:rsidRDefault="00CB00DF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4AF485A2" w14:textId="58624153" w:rsidR="00CB00DF" w:rsidRPr="00EA31AD" w:rsidRDefault="001D2298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法国电力公司</w:t>
            </w:r>
            <w:r w:rsidR="0002654C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</w:t>
            </w:r>
            <w:r w:rsidR="0002654C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Green Lighthouse </w:t>
            </w:r>
            <w:proofErr w:type="spellStart"/>
            <w:r w:rsidR="0002654C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Développement</w:t>
            </w:r>
            <w:proofErr w:type="spellEnd"/>
            <w:r w:rsidR="0002654C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股权案</w:t>
            </w:r>
          </w:p>
        </w:tc>
      </w:tr>
      <w:tr w:rsidR="00CB00DF" w:rsidRPr="00EA31AD" w14:paraId="4AF485A7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4AF485A4" w14:textId="77777777" w:rsidR="00F1624E" w:rsidRPr="00EA31AD" w:rsidRDefault="00CB00DF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4AF485A5" w14:textId="77777777" w:rsidR="00CB00DF" w:rsidRPr="00EA31AD" w:rsidRDefault="00CB00DF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14:paraId="4AF485A6" w14:textId="4263CADB" w:rsidR="00CB00DF" w:rsidRPr="00EA31AD" w:rsidRDefault="00855232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法国电力公司</w:t>
            </w:r>
            <w:r w:rsidR="00AA482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</w:t>
            </w:r>
            <w:r w:rsidR="00F26AD2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通过其子公司</w:t>
            </w:r>
            <w:r w:rsidR="00F26AD2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EDF Renouvelables France </w:t>
            </w:r>
            <w:r w:rsidR="00F26AD2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F26AD2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“EDFR”</w:t>
            </w:r>
            <w:r w:rsidR="00F26AD2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）收购</w:t>
            </w:r>
            <w:r w:rsidR="00F26AD2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Green Lighthouse </w:t>
            </w:r>
            <w:proofErr w:type="spellStart"/>
            <w:r w:rsidR="00F26AD2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Développment</w:t>
            </w:r>
            <w:proofErr w:type="spellEnd"/>
            <w:r w:rsidR="00F26AD2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F26AD2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“GLD”</w:t>
            </w:r>
            <w:r w:rsidR="00F26AD2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F26AD2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45%</w:t>
            </w:r>
            <w:r w:rsidR="00F26AD2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的股份，其中</w:t>
            </w:r>
            <w:r w:rsidR="00F26AD2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EDFR</w:t>
            </w:r>
            <w:r w:rsidR="00F26AD2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从</w:t>
            </w:r>
            <w:r w:rsidR="00F26AD2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Lumani</w:t>
            </w:r>
            <w:r w:rsidR="00F26AD2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</w:t>
            </w:r>
            <w:r w:rsidR="004D370D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GLD</w:t>
            </w:r>
            <w:r w:rsidR="004D370D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="00F26AD2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35%</w:t>
            </w:r>
            <w:r w:rsidR="00F26AD2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的股份，从</w:t>
            </w:r>
            <w:r w:rsidR="00F4117D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其他股东收购</w:t>
            </w:r>
            <w:r w:rsidR="00F4117D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F4117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="00F26AD2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="00F26AD2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的股份。</w:t>
            </w:r>
            <w:r w:rsidR="00A45865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本次交易后，</w:t>
            </w:r>
            <w:r w:rsidR="00F26AD2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EDFR</w:t>
            </w:r>
            <w:r w:rsidR="00F26AD2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="00F26AD2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Lumani</w:t>
            </w:r>
            <w:r w:rsidR="00F26AD2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将共同控制</w:t>
            </w:r>
            <w:r w:rsidR="00F26AD2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GLD</w:t>
            </w:r>
            <w:r w:rsidR="00041633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232E4" w:rsidRPr="00EA31AD" w14:paraId="4AF485B0" w14:textId="77777777" w:rsidTr="00CB00DF">
        <w:trPr>
          <w:trHeight w:val="404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63E3B693" w14:textId="77777777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4AF485AD" w14:textId="31E01D97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4AF485AE" w14:textId="36648EB6" w:rsidR="00C232E4" w:rsidRPr="00EA31AD" w:rsidRDefault="00C232E4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C01EA1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法国电力公司</w:t>
            </w:r>
          </w:p>
        </w:tc>
        <w:tc>
          <w:tcPr>
            <w:tcW w:w="5153" w:type="dxa"/>
          </w:tcPr>
          <w:p w14:paraId="4AF485AF" w14:textId="11FBEACB" w:rsidR="00C232E4" w:rsidRPr="008A7ADD" w:rsidRDefault="00E317F6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法国电力公司</w:t>
            </w:r>
            <w:r w:rsidR="006D49CC" w:rsidRPr="00EA31AD">
              <w:rPr>
                <w:rFonts w:ascii="Times New Roman" w:eastAsia="仿宋_GB2312" w:hAnsi="Times New Roman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</w:t>
            </w:r>
            <w:r w:rsidRPr="00EA31AD">
              <w:rPr>
                <w:rFonts w:ascii="Times New Roman" w:eastAsia="仿宋_GB2312" w:hAnsi="Times New Roman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法国政府所有的</w:t>
            </w:r>
            <w:r w:rsidR="006D49CC" w:rsidRPr="00EA31AD">
              <w:rPr>
                <w:rFonts w:ascii="Times New Roman" w:eastAsia="仿宋_GB2312" w:hAnsi="Times New Roman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法国公共事业公司</w:t>
            </w:r>
            <w:r w:rsidR="00D57F6C" w:rsidRPr="00EA31AD">
              <w:rPr>
                <w:rFonts w:ascii="Times New Roman" w:eastAsia="仿宋_GB2312" w:hAnsi="Times New Roman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364CD8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法国电力公司</w:t>
            </w:r>
            <w:r w:rsidR="008A7ADD" w:rsidRPr="008A7ADD">
              <w:rPr>
                <w:rFonts w:ascii="Times New Roman" w:eastAsia="仿宋_GB2312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</w:t>
            </w:r>
            <w:r w:rsidR="007113CD">
              <w:rPr>
                <w:rFonts w:ascii="Times New Roman" w:eastAsia="仿宋_GB2312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从事</w:t>
            </w:r>
            <w:r w:rsidR="008A7ADD" w:rsidRPr="008A7ADD">
              <w:rPr>
                <w:rFonts w:ascii="Times New Roman" w:eastAsia="仿宋_GB2312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法国和国外的电力</w:t>
            </w:r>
            <w:r w:rsidR="00F869D6">
              <w:rPr>
                <w:rFonts w:ascii="Times New Roman" w:eastAsia="仿宋_GB2312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业务，尤其</w:t>
            </w:r>
            <w:r w:rsidR="008A7ADD" w:rsidRPr="008A7ADD">
              <w:rPr>
                <w:rFonts w:ascii="Times New Roman" w:eastAsia="仿宋_GB2312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是在电力生产（核电、可再生能源和化石能源）以及电力批发、交易、输电、配电和供应</w:t>
            </w:r>
            <w:r w:rsidR="00B03FD9">
              <w:rPr>
                <w:rFonts w:ascii="Times New Roman" w:eastAsia="仿宋_GB2312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</w:t>
            </w:r>
            <w:r w:rsidR="008A7ADD" w:rsidRPr="008A7ADD">
              <w:rPr>
                <w:rFonts w:ascii="Times New Roman" w:eastAsia="仿宋_GB2312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232E4" w:rsidRPr="00EA31AD" w14:paraId="2C2AB934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64CC16C7" w14:textId="1B1A49D5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0492B6B9" w14:textId="5E02D62F" w:rsidR="00C232E4" w:rsidRPr="00EA31AD" w:rsidRDefault="00C232E4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C01EA1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Lumani</w:t>
            </w:r>
          </w:p>
        </w:tc>
        <w:tc>
          <w:tcPr>
            <w:tcW w:w="5153" w:type="dxa"/>
          </w:tcPr>
          <w:p w14:paraId="0B78964D" w14:textId="6E4AF869" w:rsidR="00C232E4" w:rsidRPr="00EA31AD" w:rsidRDefault="001F0CFA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Lumani</w:t>
            </w:r>
            <w:r w:rsidR="002A0E10" w:rsidRPr="00EA31AD">
              <w:rPr>
                <w:rFonts w:ascii="Times New Roman" w:eastAsia="仿宋_GB2312" w:hAnsi="Times New Roman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是绿色投资集团有限公司（</w:t>
            </w:r>
            <w:r w:rsidR="002A0E10" w:rsidRPr="00EA31AD">
              <w:rPr>
                <w:rFonts w:ascii="Times New Roman" w:eastAsia="仿宋_GB2312" w:hAnsi="Times New Roman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Green Investment Group Limited</w:t>
            </w:r>
            <w:r w:rsidR="002A0E10" w:rsidRPr="00EA31AD">
              <w:rPr>
                <w:rFonts w:ascii="Times New Roman" w:eastAsia="仿宋_GB2312" w:hAnsi="Times New Roman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）的全资子公司，专注于绿色基础设施资本投资、项目</w:t>
            </w:r>
            <w:r w:rsidR="0071294A" w:rsidRPr="00EA31AD">
              <w:rPr>
                <w:rFonts w:ascii="Times New Roman" w:eastAsia="仿宋_GB2312" w:hAnsi="Times New Roman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运营</w:t>
            </w:r>
            <w:r w:rsidR="002A0E10" w:rsidRPr="00EA31AD">
              <w:rPr>
                <w:rFonts w:ascii="Times New Roman" w:eastAsia="仿宋_GB2312" w:hAnsi="Times New Roman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、组合资产管理及相关服务。</w:t>
            </w:r>
          </w:p>
        </w:tc>
      </w:tr>
      <w:tr w:rsidR="00C232E4" w:rsidRPr="00EA31AD" w14:paraId="4AF485B7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AF485B5" w14:textId="77777777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4AF485B6" w14:textId="6AFD9B45" w:rsidR="00C232E4" w:rsidRPr="00EA31AD" w:rsidRDefault="00F571E8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232E4" w:rsidRPr="00EA31AD" w14:paraId="4AF485BA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4AF485B8" w14:textId="77777777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AF485B9" w14:textId="7B4D25D1" w:rsidR="00C232E4" w:rsidRPr="00EA31AD" w:rsidRDefault="005E48C6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232E4" w:rsidRPr="00EA31AD" w14:paraId="4AF485BD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4AF485BB" w14:textId="77777777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AF485BC" w14:textId="324099D2" w:rsidR="00C232E4" w:rsidRPr="00EA31AD" w:rsidRDefault="00796C47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232E4" w:rsidRPr="00EA31AD" w14:paraId="4AF485C0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4AF485BE" w14:textId="77777777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AF485BF" w14:textId="3BA8E386" w:rsidR="00C232E4" w:rsidRPr="00EA31AD" w:rsidRDefault="00BD224C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232E4" w:rsidRPr="00EA31AD" w14:paraId="4AF485C3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4AF485C1" w14:textId="77777777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AF485C2" w14:textId="69BD9C66" w:rsidR="00C232E4" w:rsidRPr="00EA31AD" w:rsidRDefault="002965D2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232E4" w:rsidRPr="00EA31AD" w14:paraId="4AF485C6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4AF485C4" w14:textId="77777777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AF485C5" w14:textId="77777777" w:rsidR="00C232E4" w:rsidRPr="00EA31AD" w:rsidRDefault="00C232E4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□6.</w:t>
            </w: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232E4" w:rsidRPr="00EA31AD" w14:paraId="4AF485C9" w14:textId="77777777" w:rsidTr="00CB00DF">
        <w:tc>
          <w:tcPr>
            <w:tcW w:w="1809" w:type="dxa"/>
            <w:shd w:val="clear" w:color="auto" w:fill="D9D9D9"/>
            <w:vAlign w:val="center"/>
          </w:tcPr>
          <w:p w14:paraId="4AF485C7" w14:textId="77777777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4AF485C8" w14:textId="633DC225" w:rsidR="00C232E4" w:rsidRPr="00EA31AD" w:rsidRDefault="00693C03" w:rsidP="00FC5A86">
            <w:pPr>
              <w:pStyle w:val="Body"/>
              <w:snapToGrid w:val="0"/>
              <w:spacing w:beforeLines="50" w:before="156" w:afterLines="50" w:after="156" w:line="240" w:lineRule="auto"/>
              <w:jc w:val="left"/>
              <w:rPr>
                <w:rFonts w:ascii="Times New Roman" w:eastAsia="仿宋_GB2312" w:hAnsi="Times New Roman"/>
                <w:kern w:val="0"/>
                <w:sz w:val="24"/>
                <w:lang w:eastAsia="zh-CN" w:bidi="ar-AE"/>
              </w:rPr>
            </w:pPr>
            <w:r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不适用</w:t>
            </w:r>
          </w:p>
        </w:tc>
      </w:tr>
    </w:tbl>
    <w:p w14:paraId="4AF485CA" w14:textId="77777777" w:rsidR="00CB00DF" w:rsidRPr="00EA31AD" w:rsidRDefault="00CB00DF" w:rsidP="00CB00DF">
      <w:pPr>
        <w:snapToGrid w:val="0"/>
        <w:spacing w:line="240" w:lineRule="exact"/>
        <w:jc w:val="left"/>
        <w:rPr>
          <w:rFonts w:ascii="Times New Roman" w:eastAsia="仿宋_GB2312" w:hAnsi="Times New Roman"/>
          <w:sz w:val="24"/>
          <w:szCs w:val="24"/>
        </w:rPr>
      </w:pPr>
    </w:p>
    <w:p w14:paraId="4AF485CB" w14:textId="77777777" w:rsidR="00CB00DF" w:rsidRPr="00EA31AD" w:rsidRDefault="00CB00DF" w:rsidP="00CB00DF">
      <w:pPr>
        <w:snapToGrid w:val="0"/>
        <w:spacing w:line="240" w:lineRule="exact"/>
        <w:jc w:val="left"/>
        <w:rPr>
          <w:rFonts w:ascii="Times New Roman" w:eastAsia="仿宋_GB2312" w:hAnsi="Times New Roman"/>
          <w:sz w:val="24"/>
          <w:szCs w:val="24"/>
        </w:rPr>
      </w:pPr>
      <w:r w:rsidRPr="00EA31AD">
        <w:rPr>
          <w:rFonts w:ascii="Times New Roman" w:eastAsia="仿宋_GB2312" w:hAnsi="Times New Roman"/>
          <w:sz w:val="24"/>
          <w:szCs w:val="24"/>
        </w:rPr>
        <w:t>注解：</w:t>
      </w:r>
    </w:p>
    <w:p w14:paraId="4AF485CC" w14:textId="77777777" w:rsidR="00CB00DF" w:rsidRPr="00EA31AD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Times New Roman" w:eastAsia="仿宋_GB2312" w:hAnsi="Times New Roman"/>
          <w:sz w:val="24"/>
          <w:szCs w:val="24"/>
        </w:rPr>
      </w:pPr>
      <w:r w:rsidRPr="00EA31AD">
        <w:rPr>
          <w:rFonts w:ascii="Times New Roman" w:eastAsia="仿宋_GB2312" w:hAnsi="Times New Roman"/>
          <w:sz w:val="24"/>
          <w:szCs w:val="24"/>
        </w:rPr>
        <w:t>1.</w:t>
      </w:r>
      <w:r w:rsidRPr="00EA31AD">
        <w:rPr>
          <w:rFonts w:ascii="Times New Roman" w:eastAsia="仿宋_GB2312" w:hAnsi="Times New Roman"/>
          <w:sz w:val="24"/>
          <w:szCs w:val="24"/>
        </w:rPr>
        <w:t>申报方申请简易案件的理由是基于</w:t>
      </w:r>
      <w:r w:rsidRPr="00EA31AD">
        <w:rPr>
          <w:rFonts w:ascii="Times New Roman" w:eastAsia="仿宋_GB2312" w:hAnsi="Times New Roman"/>
          <w:sz w:val="24"/>
          <w:szCs w:val="24"/>
        </w:rPr>
        <w:t>1-3</w:t>
      </w:r>
      <w:r w:rsidRPr="00EA31AD">
        <w:rPr>
          <w:rFonts w:ascii="Times New Roman" w:eastAsia="仿宋_GB2312" w:hAnsi="Times New Roman"/>
          <w:sz w:val="24"/>
          <w:szCs w:val="24"/>
        </w:rPr>
        <w:t>项时，须在备注中说明界定的相关商品市场和相关地域市场（无须阐述界定理由），以及相关市场份额；市场份额</w:t>
      </w:r>
      <w:r w:rsidRPr="00EA31AD">
        <w:rPr>
          <w:rFonts w:ascii="Times New Roman" w:eastAsia="仿宋_GB2312" w:hAnsi="Times New Roman"/>
          <w:sz w:val="24"/>
          <w:szCs w:val="24"/>
        </w:rPr>
        <w:lastRenderedPageBreak/>
        <w:t>可以区间形式提供，区间幅度不应超过</w:t>
      </w:r>
      <w:r w:rsidRPr="00EA31AD">
        <w:rPr>
          <w:rFonts w:ascii="Times New Roman" w:eastAsia="仿宋_GB2312" w:hAnsi="Times New Roman"/>
          <w:sz w:val="24"/>
          <w:szCs w:val="24"/>
        </w:rPr>
        <w:t>5%</w:t>
      </w:r>
      <w:r w:rsidRPr="00EA31AD">
        <w:rPr>
          <w:rFonts w:ascii="Times New Roman" w:eastAsia="仿宋_GB2312" w:hAnsi="Times New Roman"/>
          <w:sz w:val="24"/>
          <w:szCs w:val="24"/>
        </w:rPr>
        <w:t>。</w:t>
      </w:r>
      <w:r w:rsidRPr="00EA31AD">
        <w:rPr>
          <w:rFonts w:ascii="Times New Roman" w:eastAsia="仿宋_GB2312" w:hAnsi="Times New Roman"/>
          <w:sz w:val="24"/>
          <w:szCs w:val="24"/>
        </w:rPr>
        <w:t>1-3</w:t>
      </w:r>
      <w:r w:rsidRPr="00EA31AD">
        <w:rPr>
          <w:rFonts w:ascii="Times New Roman" w:eastAsia="仿宋_GB2312" w:hAnsi="Times New Roman"/>
          <w:sz w:val="24"/>
          <w:szCs w:val="24"/>
        </w:rPr>
        <w:t>项可以多选，也可单选；没有勾选的，视为本集中不涉及该类型交易。</w:t>
      </w:r>
    </w:p>
    <w:p w14:paraId="4AF485CD" w14:textId="77777777" w:rsidR="00CB00DF" w:rsidRPr="00EA31AD" w:rsidRDefault="00CB00DF" w:rsidP="00CB00DF">
      <w:pPr>
        <w:spacing w:line="360" w:lineRule="auto"/>
        <w:ind w:firstLineChars="200" w:firstLine="480"/>
        <w:rPr>
          <w:rFonts w:ascii="Times New Roman" w:eastAsia="仿宋_GB2312" w:hAnsi="Times New Roman"/>
          <w:sz w:val="28"/>
          <w:szCs w:val="28"/>
        </w:rPr>
      </w:pPr>
      <w:r w:rsidRPr="00EA31AD">
        <w:rPr>
          <w:rFonts w:ascii="Times New Roman" w:eastAsia="仿宋_GB2312" w:hAnsi="Times New Roman"/>
          <w:sz w:val="24"/>
          <w:szCs w:val="24"/>
        </w:rPr>
        <w:t>2.</w:t>
      </w:r>
      <w:r w:rsidRPr="00EA31AD">
        <w:rPr>
          <w:rFonts w:ascii="Times New Roman" w:eastAsia="仿宋_GB2312" w:hAnsi="Times New Roman"/>
          <w:sz w:val="24"/>
          <w:szCs w:val="24"/>
        </w:rPr>
        <w:t>申报方申请简易案件的理由是基于第</w:t>
      </w:r>
      <w:r w:rsidRPr="00EA31AD">
        <w:rPr>
          <w:rFonts w:ascii="Times New Roman" w:eastAsia="仿宋_GB2312" w:hAnsi="Times New Roman"/>
          <w:sz w:val="24"/>
          <w:szCs w:val="24"/>
        </w:rPr>
        <w:t>4</w:t>
      </w:r>
      <w:r w:rsidRPr="00EA31AD">
        <w:rPr>
          <w:rFonts w:ascii="Times New Roman" w:eastAsia="仿宋_GB2312" w:hAnsi="Times New Roman"/>
          <w:sz w:val="24"/>
          <w:szCs w:val="24"/>
        </w:rPr>
        <w:t>项、第</w:t>
      </w:r>
      <w:r w:rsidRPr="00EA31AD">
        <w:rPr>
          <w:rFonts w:ascii="Times New Roman" w:eastAsia="仿宋_GB2312" w:hAnsi="Times New Roman"/>
          <w:sz w:val="24"/>
          <w:szCs w:val="24"/>
        </w:rPr>
        <w:t>5</w:t>
      </w:r>
      <w:r w:rsidRPr="00EA31AD">
        <w:rPr>
          <w:rFonts w:ascii="Times New Roman" w:eastAsia="仿宋_GB2312" w:hAnsi="Times New Roman"/>
          <w:sz w:val="24"/>
          <w:szCs w:val="24"/>
        </w:rPr>
        <w:t>项时，无须在备注中说明相关市场和市场份额。</w:t>
      </w:r>
      <w:r w:rsidRPr="00EA31AD">
        <w:rPr>
          <w:rFonts w:ascii="Times New Roman" w:eastAsia="仿宋_GB2312" w:hAnsi="Times New Roman"/>
          <w:sz w:val="24"/>
          <w:szCs w:val="24"/>
        </w:rPr>
        <w:br/>
        <w:t xml:space="preserve">    3.</w:t>
      </w:r>
      <w:r w:rsidRPr="00EA31AD">
        <w:rPr>
          <w:rFonts w:ascii="Times New Roman" w:eastAsia="仿宋_GB2312" w:hAnsi="Times New Roman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EA31AD">
        <w:rPr>
          <w:rFonts w:ascii="Times New Roman" w:eastAsia="仿宋_GB2312" w:hAnsi="Times New Roman"/>
          <w:sz w:val="24"/>
          <w:szCs w:val="24"/>
        </w:rPr>
        <w:t>1</w:t>
      </w:r>
      <w:r w:rsidRPr="00EA31AD">
        <w:rPr>
          <w:rFonts w:ascii="Times New Roman" w:eastAsia="仿宋_GB2312" w:hAnsi="Times New Roman"/>
          <w:sz w:val="24"/>
          <w:szCs w:val="24"/>
        </w:rPr>
        <w:t>项和第</w:t>
      </w:r>
      <w:r w:rsidRPr="00EA31AD">
        <w:rPr>
          <w:rFonts w:ascii="Times New Roman" w:eastAsia="仿宋_GB2312" w:hAnsi="Times New Roman"/>
          <w:sz w:val="24"/>
          <w:szCs w:val="24"/>
        </w:rPr>
        <w:t>6</w:t>
      </w:r>
      <w:r w:rsidRPr="00EA31AD">
        <w:rPr>
          <w:rFonts w:ascii="Times New Roman" w:eastAsia="仿宋_GB2312" w:hAnsi="Times New Roman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EA31AD">
        <w:rPr>
          <w:rFonts w:ascii="Times New Roman" w:eastAsia="仿宋_GB2312" w:hAnsi="Times New Roman"/>
          <w:sz w:val="24"/>
          <w:szCs w:val="24"/>
        </w:rPr>
        <w:t>5%</w:t>
      </w:r>
      <w:r w:rsidRPr="00EA31AD">
        <w:rPr>
          <w:rFonts w:ascii="Times New Roman" w:eastAsia="仿宋_GB2312" w:hAnsi="Times New Roman"/>
          <w:sz w:val="24"/>
          <w:szCs w:val="24"/>
        </w:rPr>
        <w:t>。</w:t>
      </w:r>
    </w:p>
    <w:p w14:paraId="4AF485CE" w14:textId="77777777" w:rsidR="00CB00DF" w:rsidRPr="00EA31AD" w:rsidRDefault="00CB00DF" w:rsidP="00CB00DF">
      <w:pPr>
        <w:rPr>
          <w:rFonts w:ascii="Times New Roman" w:eastAsia="仿宋_GB2312" w:hAnsi="Times New Roman"/>
        </w:rPr>
      </w:pPr>
    </w:p>
    <w:p w14:paraId="4AF485CF" w14:textId="77777777" w:rsidR="000F5E24" w:rsidRPr="00EA31AD" w:rsidRDefault="00BD224C">
      <w:pPr>
        <w:rPr>
          <w:rFonts w:ascii="Times New Roman" w:eastAsia="仿宋_GB2312" w:hAnsi="Times New Roman"/>
        </w:rPr>
      </w:pPr>
    </w:p>
    <w:sectPr w:rsidR="000F5E24" w:rsidRPr="00EA31AD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1CD436" w14:textId="77777777" w:rsidR="00F520B0" w:rsidRDefault="00F520B0" w:rsidP="00A6791C">
      <w:r>
        <w:separator/>
      </w:r>
    </w:p>
  </w:endnote>
  <w:endnote w:type="continuationSeparator" w:id="0">
    <w:p w14:paraId="10403BEB" w14:textId="77777777" w:rsidR="00F520B0" w:rsidRDefault="00F520B0" w:rsidP="00A67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8BDB4C" w14:textId="77777777" w:rsidR="00F520B0" w:rsidRDefault="00F520B0" w:rsidP="00A6791C">
      <w:r>
        <w:separator/>
      </w:r>
    </w:p>
  </w:footnote>
  <w:footnote w:type="continuationSeparator" w:id="0">
    <w:p w14:paraId="380E50C4" w14:textId="77777777" w:rsidR="00F520B0" w:rsidRDefault="00F520B0" w:rsidP="00A679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153083"/>
    <w:multiLevelType w:val="hybridMultilevel"/>
    <w:tmpl w:val="9050EDEE"/>
    <w:lvl w:ilvl="0" w:tplc="DEB2F910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1FDC63F1"/>
    <w:multiLevelType w:val="hybridMultilevel"/>
    <w:tmpl w:val="944A48A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D081480"/>
    <w:multiLevelType w:val="hybridMultilevel"/>
    <w:tmpl w:val="2D6264FC"/>
    <w:lvl w:ilvl="0" w:tplc="DEB2F910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0DF"/>
    <w:rsid w:val="0002654C"/>
    <w:rsid w:val="00037065"/>
    <w:rsid w:val="00041633"/>
    <w:rsid w:val="000B39A2"/>
    <w:rsid w:val="000D7EBA"/>
    <w:rsid w:val="000F4CA6"/>
    <w:rsid w:val="001164CD"/>
    <w:rsid w:val="00136766"/>
    <w:rsid w:val="00155717"/>
    <w:rsid w:val="001837A3"/>
    <w:rsid w:val="001B700D"/>
    <w:rsid w:val="001D2298"/>
    <w:rsid w:val="001F0CFA"/>
    <w:rsid w:val="00245A34"/>
    <w:rsid w:val="00263334"/>
    <w:rsid w:val="002965D2"/>
    <w:rsid w:val="002A0E10"/>
    <w:rsid w:val="002E40B6"/>
    <w:rsid w:val="002E533C"/>
    <w:rsid w:val="002F0A05"/>
    <w:rsid w:val="003526F9"/>
    <w:rsid w:val="00364CD8"/>
    <w:rsid w:val="003C0AEB"/>
    <w:rsid w:val="003C4AC5"/>
    <w:rsid w:val="003D6E18"/>
    <w:rsid w:val="00431063"/>
    <w:rsid w:val="004D370D"/>
    <w:rsid w:val="004F104A"/>
    <w:rsid w:val="004F7688"/>
    <w:rsid w:val="005306AA"/>
    <w:rsid w:val="005E48C6"/>
    <w:rsid w:val="005F69F9"/>
    <w:rsid w:val="00621DDE"/>
    <w:rsid w:val="006274F2"/>
    <w:rsid w:val="006467D8"/>
    <w:rsid w:val="006531FE"/>
    <w:rsid w:val="00685AA4"/>
    <w:rsid w:val="00693C03"/>
    <w:rsid w:val="006A531B"/>
    <w:rsid w:val="006D49CC"/>
    <w:rsid w:val="006F7693"/>
    <w:rsid w:val="00710140"/>
    <w:rsid w:val="007113CD"/>
    <w:rsid w:val="0071294A"/>
    <w:rsid w:val="00796C47"/>
    <w:rsid w:val="007A5AB0"/>
    <w:rsid w:val="007F2275"/>
    <w:rsid w:val="00855232"/>
    <w:rsid w:val="008A7ADD"/>
    <w:rsid w:val="008B6FD6"/>
    <w:rsid w:val="008E0878"/>
    <w:rsid w:val="00915F0F"/>
    <w:rsid w:val="00923C0A"/>
    <w:rsid w:val="009268E4"/>
    <w:rsid w:val="009532DF"/>
    <w:rsid w:val="00997019"/>
    <w:rsid w:val="009A5029"/>
    <w:rsid w:val="009D38D5"/>
    <w:rsid w:val="009D672B"/>
    <w:rsid w:val="009F0706"/>
    <w:rsid w:val="00A06AED"/>
    <w:rsid w:val="00A45865"/>
    <w:rsid w:val="00A53F26"/>
    <w:rsid w:val="00A6791C"/>
    <w:rsid w:val="00A75C34"/>
    <w:rsid w:val="00AA0CC5"/>
    <w:rsid w:val="00AA4820"/>
    <w:rsid w:val="00B03FD9"/>
    <w:rsid w:val="00B16AFE"/>
    <w:rsid w:val="00B6393B"/>
    <w:rsid w:val="00B65DD5"/>
    <w:rsid w:val="00BD10B6"/>
    <w:rsid w:val="00BD224C"/>
    <w:rsid w:val="00BD6E36"/>
    <w:rsid w:val="00C01EA1"/>
    <w:rsid w:val="00C07076"/>
    <w:rsid w:val="00C232E4"/>
    <w:rsid w:val="00C550BE"/>
    <w:rsid w:val="00C6418F"/>
    <w:rsid w:val="00CB00DF"/>
    <w:rsid w:val="00CB06DF"/>
    <w:rsid w:val="00CB2C34"/>
    <w:rsid w:val="00CF470C"/>
    <w:rsid w:val="00CF7E29"/>
    <w:rsid w:val="00D245D6"/>
    <w:rsid w:val="00D57F6C"/>
    <w:rsid w:val="00D73C72"/>
    <w:rsid w:val="00DA173D"/>
    <w:rsid w:val="00DF2614"/>
    <w:rsid w:val="00E0592B"/>
    <w:rsid w:val="00E31738"/>
    <w:rsid w:val="00E317F6"/>
    <w:rsid w:val="00E86786"/>
    <w:rsid w:val="00EA31AD"/>
    <w:rsid w:val="00EC30F1"/>
    <w:rsid w:val="00ED2F80"/>
    <w:rsid w:val="00EF6DC7"/>
    <w:rsid w:val="00F1624E"/>
    <w:rsid w:val="00F26AD2"/>
    <w:rsid w:val="00F32F8A"/>
    <w:rsid w:val="00F4117D"/>
    <w:rsid w:val="00F520B0"/>
    <w:rsid w:val="00F571E8"/>
    <w:rsid w:val="00F810AA"/>
    <w:rsid w:val="00F869D6"/>
    <w:rsid w:val="00FA22FC"/>
    <w:rsid w:val="00FB43EC"/>
    <w:rsid w:val="00FB6B40"/>
    <w:rsid w:val="00FC5A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AF4859D"/>
  <w15:docId w15:val="{1DA2DEAC-8931-4DF2-A28C-200A07468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79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6791C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679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6791C"/>
    <w:rPr>
      <w:rFonts w:ascii="Calibri" w:eastAsia="宋体" w:hAnsi="Calibri" w:cs="Times New Roman"/>
      <w:sz w:val="18"/>
      <w:szCs w:val="18"/>
    </w:rPr>
  </w:style>
  <w:style w:type="paragraph" w:customStyle="1" w:styleId="Body">
    <w:name w:val="Body"/>
    <w:basedOn w:val="a"/>
    <w:rsid w:val="005E48C6"/>
    <w:pPr>
      <w:widowControl/>
      <w:spacing w:after="140" w:line="290" w:lineRule="auto"/>
    </w:pPr>
    <w:rPr>
      <w:rFonts w:ascii="Arial" w:hAnsi="Arial"/>
      <w:kern w:val="20"/>
      <w:sz w:val="20"/>
      <w:szCs w:val="24"/>
      <w:lang w:val="en-GB" w:eastAsia="en-GB"/>
    </w:rPr>
  </w:style>
  <w:style w:type="paragraph" w:styleId="a7">
    <w:name w:val="Balloon Text"/>
    <w:basedOn w:val="a"/>
    <w:link w:val="a8"/>
    <w:uiPriority w:val="99"/>
    <w:semiHidden/>
    <w:unhideWhenUsed/>
    <w:rsid w:val="00B6393B"/>
    <w:rPr>
      <w:rFonts w:ascii="Microsoft YaHei UI" w:eastAsia="Microsoft YaHei UI"/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B6393B"/>
    <w:rPr>
      <w:rFonts w:ascii="Microsoft YaHei UI" w:eastAsia="Microsoft YaHei UI" w:hAnsi="Calibri" w:cs="Times New Roman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AA4820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AA4820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AA4820"/>
    <w:rPr>
      <w:rFonts w:ascii="Calibri" w:eastAsia="宋体" w:hAnsi="Calibri" w:cs="Times New Roman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AA4820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AA4820"/>
    <w:rPr>
      <w:rFonts w:ascii="Calibri" w:eastAsia="宋体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DB8CA724859E44E9A4C099E36DA7463" ma:contentTypeVersion="0" ma:contentTypeDescription="新建文档。" ma:contentTypeScope="" ma:versionID="2bda5aeb1e2aed986f9d77282b2c43a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adfd09ad98667f9c194c646e975416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0912BC1-6AC3-41E5-ABE0-3D1AE5344D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EFCCE4B-06A5-457E-AFF9-AA0A479016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84485A-52DE-497B-8A49-06117B060C1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533</Words>
  <Characters>549</Characters>
  <Application>Microsoft Office Word</Application>
  <DocSecurity>0</DocSecurity>
  <Lines>22</Lines>
  <Paragraphs>15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ZL</dc:creator>
  <cp:lastModifiedBy>ZL</cp:lastModifiedBy>
  <cp:revision>11</cp:revision>
  <dcterms:created xsi:type="dcterms:W3CDTF">2021-05-14T15:11:00Z</dcterms:created>
  <dcterms:modified xsi:type="dcterms:W3CDTF">2021-05-24T06:25:00Z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0x010100ADB8CA724859E44E9A4C099E36DA7463</vt:lpwstr>
  </property>
</Properties>
</file>