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Times New Roman" w:hAnsi="Times New Roman" w:eastAsia="仿宋"/>
          <w:b/>
          <w:szCs w:val="21"/>
        </w:rPr>
      </w:pPr>
      <w:r>
        <w:rPr>
          <w:rFonts w:ascii="Times New Roman" w:hAnsi="Times New Roman" w:eastAsia="仿宋"/>
          <w:b/>
          <w:szCs w:val="21"/>
        </w:rPr>
        <w:t>经营者集中简易案件公示表</w:t>
      </w:r>
    </w:p>
    <w:p>
      <w:pPr>
        <w:spacing w:line="440" w:lineRule="exact"/>
        <w:jc w:val="center"/>
        <w:rPr>
          <w:rFonts w:ascii="Times New Roman" w:hAnsi="Times New Roman" w:eastAsia="仿宋"/>
          <w:szCs w:val="21"/>
        </w:rPr>
      </w:pPr>
    </w:p>
    <w:tbl>
      <w:tblPr>
        <w:tblStyle w:val="7"/>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3"/>
        <w:gridCol w:w="2239"/>
        <w:gridCol w:w="44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3" w:type="dxa"/>
            <w:shd w:val="clear" w:color="auto" w:fill="D9D9D9"/>
          </w:tcPr>
          <w:p>
            <w:pPr>
              <w:spacing w:before="78" w:beforeLines="25" w:after="78" w:afterLines="25"/>
              <w:rPr>
                <w:rFonts w:ascii="Times New Roman" w:hAnsi="Times New Roman" w:eastAsia="仿宋"/>
                <w:szCs w:val="21"/>
              </w:rPr>
            </w:pPr>
            <w:r>
              <w:rPr>
                <w:rFonts w:hint="eastAsia" w:ascii="Times New Roman" w:hAnsi="Times New Roman" w:eastAsia="仿宋"/>
                <w:b/>
                <w:szCs w:val="21"/>
              </w:rPr>
              <w:t>案件名称</w:t>
            </w:r>
          </w:p>
        </w:tc>
        <w:tc>
          <w:tcPr>
            <w:tcW w:w="6725" w:type="dxa"/>
            <w:gridSpan w:val="2"/>
            <w:shd w:val="clear" w:color="auto" w:fill="auto"/>
          </w:tcPr>
          <w:p>
            <w:pPr>
              <w:spacing w:before="78" w:beforeLines="25" w:after="78" w:afterLines="25"/>
              <w:jc w:val="left"/>
              <w:rPr>
                <w:rFonts w:ascii="Times New Roman" w:hAnsi="Times New Roman" w:eastAsia="仿宋"/>
                <w:szCs w:val="21"/>
              </w:rPr>
            </w:pPr>
            <w:r>
              <w:rPr>
                <w:rFonts w:ascii="Times New Roman" w:hAnsi="Times New Roman" w:eastAsia="仿宋"/>
                <w:kern w:val="0"/>
                <w:szCs w:val="21"/>
              </w:rPr>
              <w:t>中国平安人寿保险股份有限公司（“</w:t>
            </w:r>
            <w:r>
              <w:rPr>
                <w:rFonts w:ascii="Times New Roman" w:hAnsi="Times New Roman" w:eastAsia="仿宋"/>
                <w:b/>
                <w:kern w:val="0"/>
                <w:szCs w:val="21"/>
              </w:rPr>
              <w:t>平安寿险</w:t>
            </w:r>
            <w:r>
              <w:rPr>
                <w:rFonts w:ascii="Times New Roman" w:hAnsi="Times New Roman" w:eastAsia="仿宋"/>
                <w:kern w:val="0"/>
                <w:szCs w:val="21"/>
              </w:rPr>
              <w:t>”）收购</w:t>
            </w:r>
            <w:r>
              <w:rPr>
                <w:rFonts w:hint="eastAsia" w:ascii="Times New Roman" w:hAnsi="Times New Roman" w:eastAsia="仿宋"/>
                <w:kern w:val="0"/>
                <w:szCs w:val="21"/>
              </w:rPr>
              <w:t>上海东方海外凯旋房地产有限公司</w:t>
            </w:r>
            <w:r>
              <w:rPr>
                <w:rFonts w:ascii="Times New Roman" w:hAnsi="Times New Roman" w:eastAsia="仿宋"/>
                <w:kern w:val="0"/>
                <w:szCs w:val="21"/>
              </w:rPr>
              <w:t>股权案（“</w:t>
            </w:r>
            <w:r>
              <w:rPr>
                <w:rFonts w:hint="eastAsia" w:ascii="Times New Roman" w:hAnsi="Times New Roman" w:eastAsia="仿宋"/>
                <w:b/>
                <w:kern w:val="0"/>
                <w:szCs w:val="21"/>
              </w:rPr>
              <w:t>本次交易</w:t>
            </w:r>
            <w:r>
              <w:rPr>
                <w:rFonts w:ascii="Times New Roman" w:hAnsi="Times New Roman" w:eastAsia="仿宋"/>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82" w:hRule="atLeast"/>
        </w:trPr>
        <w:tc>
          <w:tcPr>
            <w:tcW w:w="2033" w:type="dxa"/>
            <w:shd w:val="clear" w:color="auto" w:fill="D9D9D9"/>
          </w:tcPr>
          <w:p>
            <w:pPr>
              <w:spacing w:before="78" w:beforeLines="25" w:after="78" w:afterLines="25"/>
              <w:jc w:val="left"/>
              <w:rPr>
                <w:rFonts w:ascii="Times New Roman" w:hAnsi="Times New Roman" w:eastAsia="仿宋"/>
                <w:szCs w:val="21"/>
              </w:rPr>
            </w:pPr>
            <w:r>
              <w:rPr>
                <w:rFonts w:hint="eastAsia" w:ascii="Times New Roman" w:hAnsi="Times New Roman" w:eastAsia="仿宋"/>
                <w:b/>
                <w:szCs w:val="21"/>
              </w:rPr>
              <w:t>交易概况</w:t>
            </w:r>
            <w:r>
              <w:rPr>
                <w:rFonts w:hint="eastAsia" w:ascii="Times New Roman" w:hAnsi="Times New Roman" w:eastAsia="仿宋"/>
                <w:szCs w:val="21"/>
              </w:rPr>
              <w:t>（限200字内）</w:t>
            </w:r>
          </w:p>
        </w:tc>
        <w:tc>
          <w:tcPr>
            <w:tcW w:w="6725" w:type="dxa"/>
            <w:gridSpan w:val="2"/>
            <w:shd w:val="clear" w:color="auto" w:fill="auto"/>
          </w:tcPr>
          <w:p>
            <w:pPr>
              <w:rPr>
                <w:rFonts w:ascii="Times New Roman" w:hAnsi="Times New Roman" w:eastAsia="仿宋"/>
                <w:szCs w:val="21"/>
              </w:rPr>
            </w:pPr>
            <w:r>
              <w:rPr>
                <w:rFonts w:ascii="Times New Roman" w:hAnsi="Times New Roman" w:eastAsia="仿宋"/>
                <w:szCs w:val="21"/>
              </w:rPr>
              <w:t>本次交易涉及</w:t>
            </w:r>
            <w:r>
              <w:rPr>
                <w:rFonts w:ascii="Times New Roman" w:hAnsi="Times New Roman" w:eastAsia="仿宋"/>
                <w:kern w:val="0"/>
                <w:szCs w:val="21"/>
              </w:rPr>
              <w:t>平安寿险通过现金收购</w:t>
            </w:r>
            <w:r>
              <w:rPr>
                <w:rFonts w:ascii="Times New Roman" w:hAnsi="Times New Roman" w:eastAsia="仿宋"/>
                <w:szCs w:val="21"/>
              </w:rPr>
              <w:t>上海东方海外凯旋房地产有限公司（“</w:t>
            </w:r>
            <w:r>
              <w:rPr>
                <w:rFonts w:ascii="Times New Roman" w:hAnsi="Times New Roman" w:eastAsia="仿宋"/>
                <w:b/>
                <w:szCs w:val="21"/>
              </w:rPr>
              <w:t>上海东方</w:t>
            </w:r>
            <w:r>
              <w:rPr>
                <w:rFonts w:ascii="Times New Roman" w:hAnsi="Times New Roman" w:eastAsia="仿宋"/>
                <w:szCs w:val="21"/>
              </w:rPr>
              <w:t>”）股权</w:t>
            </w:r>
            <w:r>
              <w:rPr>
                <w:rFonts w:ascii="Times New Roman" w:hAnsi="Times New Roman" w:eastAsia="仿宋"/>
                <w:kern w:val="0"/>
                <w:szCs w:val="21"/>
              </w:rPr>
              <w:t>。</w:t>
            </w:r>
          </w:p>
          <w:p>
            <w:pPr>
              <w:rPr>
                <w:rFonts w:ascii="Times New Roman" w:hAnsi="Times New Roman" w:eastAsia="仿宋"/>
                <w:szCs w:val="21"/>
              </w:rPr>
            </w:pPr>
          </w:p>
          <w:p>
            <w:pPr>
              <w:rPr>
                <w:rFonts w:ascii="Times New Roman" w:hAnsi="Times New Roman"/>
                <w:kern w:val="0"/>
              </w:rPr>
            </w:pPr>
            <w:r>
              <w:rPr>
                <w:rFonts w:hint="eastAsia" w:ascii="Times New Roman" w:hAnsi="Times New Roman" w:eastAsia="仿宋"/>
                <w:kern w:val="0"/>
                <w:szCs w:val="21"/>
              </w:rPr>
              <w:t>本次交易完成前，上海东方由申宁置业单独控制。本次交易完成后，平安寿险将取得上海东方70%的股权，并与申宁置业共同控制上海东方。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9" w:hRule="atLeast"/>
        </w:trPr>
        <w:tc>
          <w:tcPr>
            <w:tcW w:w="2033" w:type="dxa"/>
            <w:vMerge w:val="restart"/>
            <w:shd w:val="clear" w:color="auto" w:fill="D9D9D9"/>
          </w:tcPr>
          <w:p>
            <w:pPr>
              <w:spacing w:before="78" w:beforeLines="25" w:after="78" w:afterLines="25"/>
              <w:jc w:val="left"/>
              <w:rPr>
                <w:rFonts w:ascii="Times New Roman" w:hAnsi="Times New Roman" w:eastAsia="仿宋"/>
                <w:szCs w:val="21"/>
              </w:rPr>
            </w:pPr>
            <w:r>
              <w:rPr>
                <w:rFonts w:hint="eastAsia" w:ascii="Times New Roman" w:hAnsi="Times New Roman" w:eastAsia="仿宋"/>
                <w:b/>
                <w:szCs w:val="21"/>
              </w:rPr>
              <w:t>参与集中的经营者简介</w:t>
            </w:r>
          </w:p>
        </w:tc>
        <w:tc>
          <w:tcPr>
            <w:tcW w:w="2239" w:type="dxa"/>
            <w:shd w:val="clear" w:color="auto" w:fill="auto"/>
          </w:tcPr>
          <w:p>
            <w:pPr>
              <w:numPr>
                <w:ilvl w:val="0"/>
                <w:numId w:val="1"/>
              </w:numPr>
              <w:spacing w:before="78" w:beforeLines="25" w:after="78" w:afterLines="25"/>
              <w:rPr>
                <w:rFonts w:ascii="Times New Roman" w:hAnsi="Times New Roman" w:eastAsia="仿宋"/>
                <w:szCs w:val="21"/>
              </w:rPr>
            </w:pPr>
            <w:r>
              <w:rPr>
                <w:rFonts w:ascii="Times New Roman" w:hAnsi="Times New Roman" w:eastAsia="仿宋"/>
                <w:kern w:val="0"/>
                <w:szCs w:val="21"/>
              </w:rPr>
              <w:t>平安寿险</w:t>
            </w:r>
          </w:p>
        </w:tc>
        <w:tc>
          <w:tcPr>
            <w:tcW w:w="4486" w:type="dxa"/>
            <w:shd w:val="clear" w:color="auto" w:fill="auto"/>
          </w:tcPr>
          <w:p>
            <w:pPr>
              <w:spacing w:before="78" w:beforeLines="25" w:after="78" w:afterLines="25"/>
              <w:rPr>
                <w:rFonts w:ascii="Times New Roman" w:hAnsi="Times New Roman" w:eastAsia="仿宋"/>
                <w:szCs w:val="21"/>
              </w:rPr>
            </w:pPr>
            <w:r>
              <w:rPr>
                <w:rFonts w:ascii="Times New Roman" w:hAnsi="Times New Roman" w:eastAsia="仿宋"/>
                <w:szCs w:val="21"/>
              </w:rPr>
              <w:t>平安寿险在中国境内的主要业务为承保人民币和外币的各种人身保险业务。平安寿险</w:t>
            </w:r>
            <w:r>
              <w:rPr>
                <w:rFonts w:hint="eastAsia" w:ascii="Times New Roman" w:hAnsi="Times New Roman" w:eastAsia="仿宋"/>
                <w:szCs w:val="21"/>
              </w:rPr>
              <w:t>的最终控制人为</w:t>
            </w:r>
            <w:r>
              <w:rPr>
                <w:rFonts w:ascii="Times New Roman" w:hAnsi="Times New Roman" w:eastAsia="仿宋"/>
              </w:rPr>
              <w:t>中国平安保险（集团）股份有限公司（</w:t>
            </w:r>
            <w:r>
              <w:rPr>
                <w:rFonts w:hint="eastAsia" w:ascii="Times New Roman" w:hAnsi="Times New Roman" w:eastAsia="仿宋"/>
              </w:rPr>
              <w:t>“</w:t>
            </w:r>
            <w:r>
              <w:rPr>
                <w:rFonts w:hint="eastAsia" w:ascii="Times New Roman" w:hAnsi="Times New Roman" w:eastAsia="仿宋"/>
                <w:b/>
              </w:rPr>
              <w:t>平安保险</w:t>
            </w:r>
            <w:r>
              <w:rPr>
                <w:rFonts w:hint="eastAsia" w:ascii="Times New Roman" w:hAnsi="Times New Roman" w:eastAsia="仿宋"/>
              </w:rPr>
              <w:t>”</w:t>
            </w:r>
            <w:r>
              <w:rPr>
                <w:rFonts w:ascii="Times New Roman" w:hAnsi="Times New Roman" w:eastAsia="仿宋"/>
              </w:rPr>
              <w:t>）。</w:t>
            </w:r>
            <w:r>
              <w:rPr>
                <w:rFonts w:hint="eastAsia" w:ascii="Times New Roman" w:hAnsi="Times New Roman" w:eastAsia="仿宋"/>
                <w:szCs w:val="21"/>
              </w:rPr>
              <w:t>平安保险</w:t>
            </w:r>
            <w:r>
              <w:rPr>
                <w:rFonts w:ascii="Times New Roman" w:hAnsi="Times New Roman" w:eastAsia="仿宋"/>
                <w:szCs w:val="21"/>
              </w:rPr>
              <w:t>在中国境内的主要业务为：（一）投资保险企业；（二）监督管理控股投资企业的各种国内、国际业务；（三）开展保险资金运用业务；（四）经批准开展国内、国际保险业务；（五）经中国银行保险监督管理委员会及国家有关部门批准的其他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2033" w:type="dxa"/>
            <w:vMerge w:val="continue"/>
            <w:shd w:val="clear" w:color="auto" w:fill="D9D9D9"/>
          </w:tcPr>
          <w:p>
            <w:pPr>
              <w:spacing w:before="78" w:beforeLines="25" w:after="78" w:afterLines="25"/>
              <w:jc w:val="left"/>
              <w:rPr>
                <w:rFonts w:ascii="Times New Roman" w:hAnsi="Times New Roman" w:eastAsia="仿宋"/>
                <w:b/>
                <w:szCs w:val="21"/>
              </w:rPr>
            </w:pPr>
          </w:p>
        </w:tc>
        <w:tc>
          <w:tcPr>
            <w:tcW w:w="2239" w:type="dxa"/>
            <w:shd w:val="clear" w:color="auto" w:fill="auto"/>
          </w:tcPr>
          <w:p>
            <w:pPr>
              <w:numPr>
                <w:ilvl w:val="0"/>
                <w:numId w:val="1"/>
              </w:numPr>
              <w:spacing w:before="78" w:beforeLines="25" w:after="78" w:afterLines="25"/>
              <w:rPr>
                <w:rFonts w:ascii="Times New Roman" w:hAnsi="Times New Roman" w:eastAsia="仿宋"/>
                <w:szCs w:val="21"/>
                <w:lang w:val="en-GB"/>
              </w:rPr>
            </w:pPr>
            <w:r>
              <w:rPr>
                <w:rFonts w:hint="eastAsia" w:ascii="Times New Roman" w:hAnsi="Times New Roman" w:eastAsia="仿宋"/>
                <w:kern w:val="0"/>
                <w:szCs w:val="21"/>
              </w:rPr>
              <w:t>申宁置业有限公司</w:t>
            </w:r>
            <w:r>
              <w:rPr>
                <w:rFonts w:ascii="Times New Roman" w:hAnsi="Times New Roman" w:eastAsia="仿宋"/>
                <w:kern w:val="0"/>
                <w:szCs w:val="21"/>
              </w:rPr>
              <w:t>（Senning Property Ltd.，“</w:t>
            </w:r>
            <w:r>
              <w:rPr>
                <w:rFonts w:ascii="Times New Roman" w:hAnsi="Times New Roman" w:eastAsia="仿宋"/>
                <w:b/>
                <w:kern w:val="0"/>
                <w:szCs w:val="21"/>
              </w:rPr>
              <w:t>申宁置业</w:t>
            </w:r>
            <w:r>
              <w:rPr>
                <w:rFonts w:ascii="Times New Roman" w:hAnsi="Times New Roman" w:eastAsia="仿宋"/>
                <w:kern w:val="0"/>
                <w:szCs w:val="21"/>
              </w:rPr>
              <w:t>”）</w:t>
            </w:r>
          </w:p>
        </w:tc>
        <w:tc>
          <w:tcPr>
            <w:tcW w:w="4486" w:type="dxa"/>
            <w:shd w:val="clear" w:color="auto" w:fill="auto"/>
          </w:tcPr>
          <w:p>
            <w:pPr>
              <w:spacing w:before="78" w:beforeLines="25" w:after="78" w:afterLines="25"/>
              <w:rPr>
                <w:rFonts w:ascii="Times New Roman" w:hAnsi="Times New Roman" w:eastAsia="仿宋"/>
                <w:szCs w:val="21"/>
              </w:rPr>
            </w:pPr>
            <w:r>
              <w:rPr>
                <w:rFonts w:ascii="Times New Roman" w:hAnsi="Times New Roman" w:eastAsia="仿宋"/>
                <w:szCs w:val="21"/>
              </w:rPr>
              <w:t>申宁置业持有上海东方约95％的注册资本，上海东方持有位于中国上海的长宁来福士广场。申宁置业仅</w:t>
            </w:r>
            <w:r>
              <w:rPr>
                <w:rFonts w:hint="eastAsia" w:ascii="Times New Roman" w:hAnsi="Times New Roman" w:eastAsia="仿宋"/>
                <w:szCs w:val="21"/>
              </w:rPr>
              <w:t>通过运营</w:t>
            </w:r>
            <w:r>
              <w:rPr>
                <w:rFonts w:ascii="Times New Roman" w:hAnsi="Times New Roman" w:eastAsia="仿宋"/>
                <w:szCs w:val="21"/>
              </w:rPr>
              <w:t>长宁来福士广场获得营业</w:t>
            </w:r>
            <w:r>
              <w:rPr>
                <w:rFonts w:hint="eastAsia" w:ascii="Times New Roman" w:hAnsi="Times New Roman" w:eastAsia="仿宋"/>
                <w:szCs w:val="21"/>
              </w:rPr>
              <w:t>收入</w:t>
            </w:r>
            <w:r>
              <w:rPr>
                <w:rFonts w:ascii="Times New Roman" w:hAnsi="Times New Roman" w:eastAsia="仿宋"/>
                <w:szCs w:val="21"/>
              </w:rPr>
              <w:t>。它在中国</w:t>
            </w:r>
            <w:r>
              <w:rPr>
                <w:rFonts w:hint="eastAsia" w:ascii="Times New Roman" w:hAnsi="Times New Roman" w:eastAsia="仿宋"/>
                <w:szCs w:val="21"/>
              </w:rPr>
              <w:t>境外</w:t>
            </w:r>
            <w:r>
              <w:rPr>
                <w:rFonts w:ascii="Times New Roman" w:hAnsi="Times New Roman" w:eastAsia="仿宋"/>
                <w:szCs w:val="21"/>
              </w:rPr>
              <w:t>没有任何业务。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2033" w:type="dxa"/>
            <w:vMerge w:val="restart"/>
            <w:shd w:val="clear" w:color="auto" w:fill="D9D9D9"/>
          </w:tcPr>
          <w:p>
            <w:pPr>
              <w:spacing w:before="78" w:beforeLines="25" w:after="78" w:afterLines="25"/>
              <w:jc w:val="left"/>
              <w:rPr>
                <w:rFonts w:ascii="Times New Roman" w:hAnsi="Times New Roman" w:eastAsia="仿宋"/>
                <w:b/>
                <w:szCs w:val="21"/>
              </w:rPr>
            </w:pPr>
            <w:r>
              <w:rPr>
                <w:rFonts w:ascii="Times New Roman" w:hAnsi="Times New Roman" w:eastAsia="仿宋"/>
                <w:b/>
                <w:szCs w:val="21"/>
              </w:rPr>
              <w:t>简易案件理由（可以单选，也可以多选）</w:t>
            </w:r>
          </w:p>
        </w:tc>
        <w:tc>
          <w:tcPr>
            <w:tcW w:w="6725" w:type="dxa"/>
            <w:gridSpan w:val="2"/>
            <w:shd w:val="clear" w:color="auto" w:fill="auto"/>
          </w:tcPr>
          <w:p>
            <w:pPr>
              <w:spacing w:before="78" w:beforeLines="25" w:after="78" w:afterLines="25" w:line="280" w:lineRule="exact"/>
              <w:rPr>
                <w:rFonts w:ascii="Times New Roman" w:hAnsi="Times New Roman" w:eastAsia="仿宋"/>
                <w:szCs w:val="21"/>
              </w:rPr>
            </w:pPr>
            <w:r>
              <w:rPr>
                <w:rFonts w:ascii="Times New Roman" w:hAnsi="Times New Roman" w:eastAsia="仿宋"/>
                <w:bCs/>
                <w:szCs w:val="21"/>
              </w:rPr>
              <w:sym w:font="Wingdings" w:char="F0FE"/>
            </w:r>
            <w:r>
              <w:rPr>
                <w:rFonts w:ascii="Times New Roman" w:hAnsi="Times New Roman" w:eastAsia="仿宋"/>
                <w:szCs w:val="21"/>
              </w:rPr>
              <w:t>1、</w:t>
            </w:r>
            <w:r>
              <w:rPr>
                <w:rFonts w:hint="eastAsia" w:ascii="Times New Roman" w:hAnsi="Times New Roman" w:eastAsia="仿宋"/>
                <w:szCs w:val="21"/>
              </w:rPr>
              <w:t>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2033" w:type="dxa"/>
            <w:vMerge w:val="continue"/>
            <w:shd w:val="clear" w:color="auto" w:fill="D9D9D9"/>
          </w:tcPr>
          <w:p>
            <w:pPr>
              <w:spacing w:before="78" w:beforeLines="25" w:after="78" w:afterLines="25"/>
              <w:rPr>
                <w:rFonts w:ascii="Times New Roman" w:hAnsi="Times New Roman" w:eastAsia="仿宋"/>
                <w:b/>
                <w:szCs w:val="21"/>
              </w:rPr>
            </w:pPr>
          </w:p>
        </w:tc>
        <w:tc>
          <w:tcPr>
            <w:tcW w:w="6725" w:type="dxa"/>
            <w:gridSpan w:val="2"/>
            <w:shd w:val="clear" w:color="auto" w:fill="auto"/>
          </w:tcPr>
          <w:p>
            <w:pPr>
              <w:spacing w:before="78" w:beforeLines="25" w:after="78" w:afterLines="25" w:line="280" w:lineRule="exact"/>
              <w:rPr>
                <w:rFonts w:ascii="Times New Roman" w:hAnsi="Times New Roman" w:eastAsia="仿宋"/>
                <w:szCs w:val="21"/>
              </w:rPr>
            </w:pPr>
            <w:r>
              <w:rPr>
                <w:rFonts w:ascii="Times New Roman" w:hAnsi="Times New Roman" w:eastAsia="仿宋"/>
                <w:szCs w:val="21"/>
              </w:rPr>
              <w:t>□2、</w:t>
            </w:r>
            <w:r>
              <w:rPr>
                <w:rFonts w:hint="eastAsia" w:ascii="Times New Roman" w:hAnsi="Times New Roman" w:eastAsia="仿宋"/>
                <w:szCs w:val="21"/>
              </w:rPr>
              <w:t>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033" w:type="dxa"/>
            <w:vMerge w:val="continue"/>
            <w:shd w:val="clear" w:color="auto" w:fill="D9D9D9"/>
          </w:tcPr>
          <w:p>
            <w:pPr>
              <w:spacing w:before="78" w:beforeLines="25" w:after="78" w:afterLines="25"/>
              <w:rPr>
                <w:rFonts w:ascii="Times New Roman" w:hAnsi="Times New Roman" w:eastAsia="仿宋"/>
                <w:b/>
                <w:szCs w:val="21"/>
              </w:rPr>
            </w:pPr>
          </w:p>
        </w:tc>
        <w:tc>
          <w:tcPr>
            <w:tcW w:w="6725" w:type="dxa"/>
            <w:gridSpan w:val="2"/>
            <w:shd w:val="clear" w:color="auto" w:fill="auto"/>
          </w:tcPr>
          <w:p>
            <w:pPr>
              <w:spacing w:before="78" w:beforeLines="25" w:after="78" w:afterLines="25" w:line="280" w:lineRule="exact"/>
              <w:rPr>
                <w:rFonts w:ascii="Times New Roman" w:hAnsi="Times New Roman" w:eastAsia="仿宋"/>
                <w:szCs w:val="21"/>
              </w:rPr>
            </w:pPr>
            <w:r>
              <w:rPr>
                <w:rFonts w:ascii="Times New Roman" w:hAnsi="Times New Roman" w:eastAsia="仿宋"/>
                <w:szCs w:val="21"/>
              </w:rPr>
              <w:t>□3、</w:t>
            </w:r>
            <w:r>
              <w:rPr>
                <w:rFonts w:hint="eastAsia" w:ascii="Times New Roman" w:hAnsi="Times New Roman" w:eastAsia="仿宋"/>
                <w:szCs w:val="21"/>
              </w:rPr>
              <w:t>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trPr>
        <w:tc>
          <w:tcPr>
            <w:tcW w:w="2033" w:type="dxa"/>
            <w:vMerge w:val="continue"/>
            <w:shd w:val="clear" w:color="auto" w:fill="D9D9D9"/>
          </w:tcPr>
          <w:p>
            <w:pPr>
              <w:spacing w:before="78" w:beforeLines="25" w:after="78" w:afterLines="25"/>
              <w:rPr>
                <w:rFonts w:ascii="Times New Roman" w:hAnsi="Times New Roman" w:eastAsia="仿宋"/>
                <w:b/>
                <w:szCs w:val="21"/>
              </w:rPr>
            </w:pPr>
          </w:p>
        </w:tc>
        <w:tc>
          <w:tcPr>
            <w:tcW w:w="6725" w:type="dxa"/>
            <w:gridSpan w:val="2"/>
            <w:shd w:val="clear" w:color="auto" w:fill="auto"/>
          </w:tcPr>
          <w:p>
            <w:pPr>
              <w:spacing w:before="78" w:beforeLines="25" w:after="78" w:afterLines="25" w:line="280" w:lineRule="exact"/>
              <w:rPr>
                <w:rFonts w:ascii="Times New Roman" w:hAnsi="Times New Roman" w:eastAsia="仿宋"/>
                <w:bCs/>
                <w:szCs w:val="21"/>
              </w:rPr>
            </w:pPr>
            <w:r>
              <w:rPr>
                <w:rFonts w:ascii="Times New Roman" w:hAnsi="Times New Roman" w:eastAsia="仿宋"/>
                <w:szCs w:val="21"/>
              </w:rPr>
              <w:t>□</w:t>
            </w:r>
            <w:r>
              <w:rPr>
                <w:rFonts w:ascii="Times New Roman" w:hAnsi="Times New Roman" w:eastAsia="仿宋"/>
                <w:bCs/>
                <w:szCs w:val="21"/>
              </w:rPr>
              <w:t>4、</w:t>
            </w:r>
            <w:r>
              <w:rPr>
                <w:rFonts w:hint="eastAsia" w:ascii="Times New Roman" w:hAnsi="Times New Roman" w:eastAsia="仿宋"/>
                <w:bCs/>
                <w:szCs w:val="21"/>
              </w:rPr>
              <w:t>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2033" w:type="dxa"/>
            <w:vMerge w:val="continue"/>
            <w:shd w:val="clear" w:color="auto" w:fill="D9D9D9"/>
          </w:tcPr>
          <w:p>
            <w:pPr>
              <w:spacing w:before="78" w:beforeLines="25" w:after="78" w:afterLines="25"/>
              <w:rPr>
                <w:rFonts w:ascii="Times New Roman" w:hAnsi="Times New Roman" w:eastAsia="仿宋"/>
                <w:b/>
                <w:szCs w:val="21"/>
              </w:rPr>
            </w:pPr>
          </w:p>
        </w:tc>
        <w:tc>
          <w:tcPr>
            <w:tcW w:w="6725" w:type="dxa"/>
            <w:gridSpan w:val="2"/>
            <w:shd w:val="clear" w:color="auto" w:fill="auto"/>
          </w:tcPr>
          <w:p>
            <w:pPr>
              <w:spacing w:before="78" w:beforeLines="25" w:after="78" w:afterLines="25" w:line="280" w:lineRule="exact"/>
              <w:rPr>
                <w:rFonts w:ascii="Times New Roman" w:hAnsi="Times New Roman" w:eastAsia="仿宋"/>
                <w:szCs w:val="21"/>
              </w:rPr>
            </w:pPr>
            <w:r>
              <w:rPr>
                <w:rFonts w:ascii="Times New Roman" w:hAnsi="Times New Roman" w:eastAsia="仿宋"/>
                <w:szCs w:val="21"/>
              </w:rPr>
              <w:t>□5、</w:t>
            </w:r>
            <w:r>
              <w:rPr>
                <w:rFonts w:hint="eastAsia" w:ascii="Times New Roman" w:hAnsi="Times New Roman" w:eastAsia="仿宋"/>
                <w:szCs w:val="21"/>
              </w:rPr>
              <w:t>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2033" w:type="dxa"/>
            <w:vMerge w:val="continue"/>
            <w:shd w:val="clear" w:color="auto" w:fill="D9D9D9"/>
          </w:tcPr>
          <w:p>
            <w:pPr>
              <w:spacing w:before="78" w:beforeLines="25" w:after="78" w:afterLines="25"/>
              <w:rPr>
                <w:rFonts w:ascii="Times New Roman" w:hAnsi="Times New Roman" w:eastAsia="仿宋"/>
                <w:b/>
                <w:szCs w:val="21"/>
              </w:rPr>
            </w:pPr>
          </w:p>
        </w:tc>
        <w:tc>
          <w:tcPr>
            <w:tcW w:w="6725" w:type="dxa"/>
            <w:gridSpan w:val="2"/>
            <w:shd w:val="clear" w:color="auto" w:fill="auto"/>
          </w:tcPr>
          <w:p>
            <w:pPr>
              <w:spacing w:before="78" w:beforeLines="25" w:after="78" w:afterLines="25" w:line="280" w:lineRule="exact"/>
              <w:rPr>
                <w:rFonts w:ascii="Times New Roman" w:hAnsi="Times New Roman" w:eastAsia="仿宋"/>
                <w:szCs w:val="21"/>
              </w:rPr>
            </w:pPr>
            <w:r>
              <w:rPr>
                <w:rFonts w:ascii="Times New Roman" w:hAnsi="Times New Roman" w:eastAsia="仿宋"/>
                <w:szCs w:val="21"/>
              </w:rPr>
              <w:t>□6、</w:t>
            </w:r>
            <w:r>
              <w:rPr>
                <w:rFonts w:hint="eastAsia" w:ascii="Times New Roman" w:hAnsi="Times New Roman" w:eastAsia="仿宋"/>
                <w:szCs w:val="21"/>
              </w:rPr>
              <w:t>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3" w:type="dxa"/>
            <w:shd w:val="clear" w:color="auto" w:fill="D9D9D9"/>
          </w:tcPr>
          <w:p>
            <w:pPr>
              <w:spacing w:before="78" w:beforeLines="25" w:after="78" w:afterLines="25"/>
              <w:rPr>
                <w:rFonts w:ascii="Times New Roman" w:hAnsi="Times New Roman" w:eastAsia="仿宋"/>
                <w:b/>
                <w:szCs w:val="21"/>
              </w:rPr>
            </w:pPr>
            <w:r>
              <w:rPr>
                <w:rFonts w:ascii="Times New Roman" w:hAnsi="Times New Roman" w:eastAsia="仿宋"/>
                <w:b/>
                <w:szCs w:val="21"/>
              </w:rPr>
              <w:t>备注</w:t>
            </w:r>
          </w:p>
        </w:tc>
        <w:tc>
          <w:tcPr>
            <w:tcW w:w="6725" w:type="dxa"/>
            <w:gridSpan w:val="2"/>
            <w:shd w:val="clear" w:color="auto" w:fill="auto"/>
          </w:tcPr>
          <w:p>
            <w:pPr>
              <w:rPr>
                <w:rFonts w:ascii="Times New Roman" w:hAnsi="Times New Roman" w:eastAsia="仿宋"/>
                <w:szCs w:val="21"/>
              </w:rPr>
            </w:pPr>
            <w:r>
              <w:rPr>
                <w:rFonts w:hint="eastAsia" w:ascii="Times New Roman" w:hAnsi="Times New Roman" w:eastAsia="仿宋"/>
                <w:szCs w:val="21"/>
              </w:rPr>
              <w:t>相关</w:t>
            </w:r>
            <w:bookmarkStart w:id="0" w:name="_GoBack"/>
            <w:bookmarkEnd w:id="0"/>
            <w:r>
              <w:rPr>
                <w:rFonts w:hint="eastAsia" w:ascii="Times New Roman" w:hAnsi="Times New Roman" w:eastAsia="仿宋"/>
                <w:szCs w:val="21"/>
                <w:lang w:eastAsia="zh-CN"/>
              </w:rPr>
              <w:t>商</w:t>
            </w:r>
            <w:r>
              <w:rPr>
                <w:rFonts w:hint="eastAsia" w:ascii="Times New Roman" w:hAnsi="Times New Roman" w:eastAsia="仿宋"/>
                <w:szCs w:val="21"/>
              </w:rPr>
              <w:t>品市场：写字楼运营市场</w:t>
            </w:r>
          </w:p>
          <w:p>
            <w:pPr>
              <w:spacing w:before="78" w:beforeLines="25" w:after="78" w:afterLines="25"/>
              <w:rPr>
                <w:rFonts w:ascii="Times New Roman" w:hAnsi="Times New Roman" w:eastAsia="仿宋"/>
                <w:szCs w:val="21"/>
              </w:rPr>
            </w:pPr>
            <w:r>
              <w:rPr>
                <w:rFonts w:hint="eastAsia" w:ascii="Times New Roman" w:hAnsi="Times New Roman" w:eastAsia="仿宋"/>
                <w:szCs w:val="21"/>
              </w:rPr>
              <w:t>相关地域市场：上海市</w:t>
            </w:r>
          </w:p>
          <w:p>
            <w:pPr>
              <w:rPr>
                <w:rFonts w:ascii="Times New Roman" w:hAnsi="Times New Roman" w:eastAsia="仿宋"/>
                <w:szCs w:val="21"/>
              </w:rPr>
            </w:pPr>
            <w:r>
              <w:rPr>
                <w:rFonts w:hint="eastAsia" w:ascii="Times New Roman" w:hAnsi="Times New Roman" w:eastAsia="仿宋"/>
                <w:szCs w:val="21"/>
              </w:rPr>
              <w:t>市场份额：</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9"/>
              <w:gridCol w:w="23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9" w:type="dxa"/>
                  <w:vAlign w:val="center"/>
                </w:tcPr>
                <w:p>
                  <w:pPr>
                    <w:rPr>
                      <w:rFonts w:ascii="Times New Roman" w:hAnsi="Times New Roman" w:eastAsia="仿宋"/>
                      <w:szCs w:val="21"/>
                    </w:rPr>
                  </w:pPr>
                </w:p>
              </w:tc>
              <w:tc>
                <w:tcPr>
                  <w:tcW w:w="2388" w:type="dxa"/>
                  <w:vAlign w:val="center"/>
                </w:tcPr>
                <w:p>
                  <w:pPr>
                    <w:rPr>
                      <w:rFonts w:ascii="Times New Roman" w:hAnsi="Times New Roman" w:eastAsia="仿宋"/>
                      <w:szCs w:val="21"/>
                    </w:rPr>
                  </w:pPr>
                  <w:r>
                    <w:rPr>
                      <w:rFonts w:hint="eastAsia" w:ascii="Times New Roman" w:hAnsi="Times New Roman" w:eastAsia="仿宋"/>
                      <w:szCs w:val="21"/>
                    </w:rPr>
                    <w:t>以建筑面积（GFA）计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9" w:type="dxa"/>
                  <w:vAlign w:val="center"/>
                </w:tcPr>
                <w:p>
                  <w:pPr>
                    <w:rPr>
                      <w:rFonts w:ascii="Times New Roman" w:hAnsi="Times New Roman" w:eastAsia="仿宋"/>
                      <w:szCs w:val="21"/>
                    </w:rPr>
                  </w:pPr>
                  <w:r>
                    <w:rPr>
                      <w:rFonts w:hint="eastAsia" w:ascii="Times New Roman" w:hAnsi="Times New Roman" w:eastAsia="仿宋"/>
                      <w:szCs w:val="21"/>
                    </w:rPr>
                    <w:t>平安集团</w:t>
                  </w:r>
                </w:p>
              </w:tc>
              <w:tc>
                <w:tcPr>
                  <w:tcW w:w="2388" w:type="dxa"/>
                  <w:vAlign w:val="center"/>
                </w:tcPr>
                <w:p>
                  <w:pPr>
                    <w:rPr>
                      <w:rFonts w:ascii="Times New Roman" w:hAnsi="Times New Roman" w:eastAsia="仿宋"/>
                      <w:szCs w:val="21"/>
                    </w:rPr>
                  </w:pPr>
                  <w:r>
                    <w:rPr>
                      <w:rFonts w:hint="eastAsia" w:ascii="Times New Roman" w:hAnsi="Times New Roman" w:eastAsia="仿宋"/>
                      <w:szCs w:val="21"/>
                    </w:rPr>
                    <w:t>[5-10]%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9" w:type="dxa"/>
                  <w:vAlign w:val="center"/>
                </w:tcPr>
                <w:p>
                  <w:pPr>
                    <w:rPr>
                      <w:rFonts w:ascii="Times New Roman" w:hAnsi="Times New Roman" w:eastAsia="仿宋"/>
                      <w:szCs w:val="21"/>
                    </w:rPr>
                  </w:pPr>
                  <w:r>
                    <w:rPr>
                      <w:rFonts w:hint="eastAsia" w:ascii="Times New Roman" w:hAnsi="Times New Roman" w:eastAsia="仿宋"/>
                      <w:szCs w:val="21"/>
                    </w:rPr>
                    <w:t>申宁置业</w:t>
                  </w:r>
                </w:p>
              </w:tc>
              <w:tc>
                <w:tcPr>
                  <w:tcW w:w="2388" w:type="dxa"/>
                  <w:vAlign w:val="center"/>
                </w:tcPr>
                <w:p>
                  <w:pPr>
                    <w:rPr>
                      <w:rFonts w:ascii="Times New Roman" w:hAnsi="Times New Roman" w:eastAsia="仿宋"/>
                      <w:szCs w:val="21"/>
                    </w:rPr>
                  </w:pPr>
                  <w:r>
                    <w:rPr>
                      <w:rFonts w:ascii="Times New Roman" w:hAnsi="Times New Roman" w:eastAsia="仿宋"/>
                      <w:szCs w:val="21"/>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9" w:type="dxa"/>
                  <w:vAlign w:val="center"/>
                </w:tcPr>
                <w:p>
                  <w:pPr>
                    <w:rPr>
                      <w:rFonts w:ascii="Times New Roman" w:hAnsi="Times New Roman" w:eastAsia="仿宋"/>
                      <w:szCs w:val="21"/>
                    </w:rPr>
                  </w:pPr>
                  <w:r>
                    <w:rPr>
                      <w:rFonts w:hint="eastAsia" w:ascii="Times New Roman" w:hAnsi="Times New Roman" w:eastAsia="仿宋"/>
                      <w:kern w:val="0"/>
                      <w:szCs w:val="21"/>
                    </w:rPr>
                    <w:t>上海东方</w:t>
                  </w:r>
                </w:p>
              </w:tc>
              <w:tc>
                <w:tcPr>
                  <w:tcW w:w="2388" w:type="dxa"/>
                  <w:vAlign w:val="center"/>
                </w:tcPr>
                <w:p>
                  <w:pPr>
                    <w:rPr>
                      <w:rFonts w:ascii="Times New Roman" w:hAnsi="Times New Roman" w:eastAsia="仿宋"/>
                      <w:szCs w:val="21"/>
                    </w:rPr>
                  </w:pPr>
                  <w:r>
                    <w:rPr>
                      <w:rFonts w:hint="eastAsia" w:ascii="Times New Roman" w:hAnsi="Times New Roman" w:eastAsia="仿宋"/>
                      <w:szCs w:val="21"/>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9" w:type="dxa"/>
                  <w:vAlign w:val="center"/>
                </w:tcPr>
                <w:p>
                  <w:pPr>
                    <w:rPr>
                      <w:rFonts w:ascii="Times New Roman" w:hAnsi="Times New Roman" w:eastAsia="仿宋"/>
                      <w:szCs w:val="21"/>
                    </w:rPr>
                  </w:pPr>
                  <w:r>
                    <w:rPr>
                      <w:rFonts w:hint="eastAsia" w:ascii="Times New Roman" w:hAnsi="Times New Roman" w:eastAsia="仿宋"/>
                      <w:szCs w:val="21"/>
                    </w:rPr>
                    <w:t>各方合计</w:t>
                  </w:r>
                </w:p>
              </w:tc>
              <w:tc>
                <w:tcPr>
                  <w:tcW w:w="2388" w:type="dxa"/>
                  <w:vAlign w:val="center"/>
                </w:tcPr>
                <w:p>
                  <w:pPr>
                    <w:rPr>
                      <w:rFonts w:ascii="Times New Roman" w:hAnsi="Times New Roman" w:eastAsia="仿宋"/>
                      <w:szCs w:val="21"/>
                    </w:rPr>
                  </w:pPr>
                  <w:r>
                    <w:rPr>
                      <w:rFonts w:hint="eastAsia" w:ascii="Times New Roman" w:hAnsi="Times New Roman" w:eastAsia="仿宋"/>
                      <w:szCs w:val="21"/>
                    </w:rPr>
                    <w:t>[10-</w:t>
                  </w:r>
                  <w:r>
                    <w:rPr>
                      <w:rFonts w:ascii="Times New Roman" w:hAnsi="Times New Roman" w:eastAsia="仿宋"/>
                      <w:szCs w:val="21"/>
                    </w:rPr>
                    <w:t>1</w:t>
                  </w:r>
                  <w:r>
                    <w:rPr>
                      <w:rFonts w:hint="eastAsia" w:ascii="Times New Roman" w:hAnsi="Times New Roman" w:eastAsia="仿宋"/>
                      <w:szCs w:val="21"/>
                    </w:rPr>
                    <w:t>5]%</w:t>
                  </w:r>
                </w:p>
              </w:tc>
            </w:tr>
          </w:tbl>
          <w:p>
            <w:pPr>
              <w:rPr>
                <w:rFonts w:ascii="Times New Roman" w:hAnsi="Times New Roman" w:eastAsia="仿宋"/>
                <w:szCs w:val="21"/>
              </w:rPr>
            </w:pPr>
          </w:p>
          <w:p>
            <w:pPr>
              <w:spacing w:before="78" w:beforeLines="25" w:after="78" w:afterLines="25"/>
              <w:rPr>
                <w:rFonts w:ascii="Times New Roman" w:hAnsi="Times New Roman" w:eastAsia="仿宋"/>
                <w:szCs w:val="21"/>
              </w:rPr>
            </w:pPr>
          </w:p>
        </w:tc>
      </w:tr>
    </w:tbl>
    <w:p>
      <w:pPr>
        <w:rPr>
          <w:rFonts w:ascii="Times New Roman" w:hAnsi="Times New Roman" w:eastAsia="仿宋"/>
          <w:szCs w:val="21"/>
        </w:rPr>
      </w:pPr>
    </w:p>
    <w:p>
      <w:pPr>
        <w:rPr>
          <w:szCs w:val="21"/>
        </w:rPr>
      </w:pPr>
    </w:p>
    <w:sectPr>
      <w:headerReference r:id="rId5" w:type="default"/>
      <w:footerReference r:id="rId6"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仿宋">
    <w:panose1 w:val="02010609060101010101"/>
    <w:charset w:val="86"/>
    <w:family w:val="modern"/>
    <w:pitch w:val="default"/>
    <w:sig w:usb0="800002BF" w:usb1="38CF7CFA" w:usb2="00000016"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rPr>
        <w:rFonts w:ascii="Times New Roman" w:hAnsi="Times New Roman"/>
      </w:rPr>
    </w:pPr>
    <w:r>
      <w:rPr>
        <w:rFonts w:ascii="Times New Roman" w:hAnsi="Times New Roman"/>
      </w:rPr>
      <w:fldChar w:fldCharType="begin"/>
    </w:r>
    <w:r>
      <w:rPr>
        <w:rFonts w:ascii="Times New Roman" w:hAnsi="Times New Roman"/>
      </w:rPr>
      <w:instrText xml:space="preserve">PAGE   \* MERGEFORMAT</w:instrText>
    </w:r>
    <w:r>
      <w:rPr>
        <w:rFonts w:ascii="Times New Roman" w:hAnsi="Times New Roman"/>
      </w:rPr>
      <w:fldChar w:fldCharType="separate"/>
    </w:r>
    <w:r>
      <w:rPr>
        <w:rFonts w:ascii="Times New Roman" w:hAnsi="Times New Roman"/>
        <w:lang w:val="zh-CN"/>
      </w:rPr>
      <w:t>2</w:t>
    </w:r>
    <w:r>
      <w:rPr>
        <w:rFonts w:ascii="Times New Roman" w:hAnsi="Times New Roman"/>
      </w:rPr>
      <w:fldChar w:fldCharType="end"/>
    </w:r>
  </w:p>
  <w:p>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wordWrap w:val="0"/>
      <w:jc w:val="right"/>
      <w:rPr>
        <w:rFonts w:ascii="Times New Roman" w:hAnsi="Times New Roma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432898"/>
    <w:multiLevelType w:val="multilevel"/>
    <w:tmpl w:val="0143289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9"/>
  <w:bordersDoNotSurroundHeader w:val="true"/>
  <w:bordersDoNotSurroundFooter w:val="true"/>
  <w:trackRevisions w:val="true"/>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127C"/>
    <w:rsid w:val="00010A97"/>
    <w:rsid w:val="00013B30"/>
    <w:rsid w:val="00013CC5"/>
    <w:rsid w:val="00032CF0"/>
    <w:rsid w:val="0004127C"/>
    <w:rsid w:val="00072340"/>
    <w:rsid w:val="000E1F77"/>
    <w:rsid w:val="000F4DE1"/>
    <w:rsid w:val="00112539"/>
    <w:rsid w:val="00137B57"/>
    <w:rsid w:val="00147AC1"/>
    <w:rsid w:val="00160241"/>
    <w:rsid w:val="00183578"/>
    <w:rsid w:val="001A47D5"/>
    <w:rsid w:val="001A7E88"/>
    <w:rsid w:val="001B7E77"/>
    <w:rsid w:val="001F37CB"/>
    <w:rsid w:val="00202A53"/>
    <w:rsid w:val="002103B1"/>
    <w:rsid w:val="00222962"/>
    <w:rsid w:val="002505AC"/>
    <w:rsid w:val="002513CF"/>
    <w:rsid w:val="0025442A"/>
    <w:rsid w:val="00261CDD"/>
    <w:rsid w:val="002758AD"/>
    <w:rsid w:val="002800E7"/>
    <w:rsid w:val="0028278A"/>
    <w:rsid w:val="002955EC"/>
    <w:rsid w:val="00307745"/>
    <w:rsid w:val="0031034E"/>
    <w:rsid w:val="00336C18"/>
    <w:rsid w:val="00344C3C"/>
    <w:rsid w:val="00346DC9"/>
    <w:rsid w:val="00360BB4"/>
    <w:rsid w:val="003967CF"/>
    <w:rsid w:val="003E43EA"/>
    <w:rsid w:val="00406368"/>
    <w:rsid w:val="00412B9A"/>
    <w:rsid w:val="004A390F"/>
    <w:rsid w:val="004B6799"/>
    <w:rsid w:val="004C2210"/>
    <w:rsid w:val="00500453"/>
    <w:rsid w:val="005240AF"/>
    <w:rsid w:val="0053163F"/>
    <w:rsid w:val="00560687"/>
    <w:rsid w:val="00583920"/>
    <w:rsid w:val="005D0FA4"/>
    <w:rsid w:val="00613FCC"/>
    <w:rsid w:val="00646C62"/>
    <w:rsid w:val="00672A8C"/>
    <w:rsid w:val="006A7464"/>
    <w:rsid w:val="006E2003"/>
    <w:rsid w:val="006F7C6A"/>
    <w:rsid w:val="00722164"/>
    <w:rsid w:val="007343B5"/>
    <w:rsid w:val="007401BA"/>
    <w:rsid w:val="00742804"/>
    <w:rsid w:val="0078229E"/>
    <w:rsid w:val="007F6C68"/>
    <w:rsid w:val="008A0365"/>
    <w:rsid w:val="008C78D1"/>
    <w:rsid w:val="008E58D9"/>
    <w:rsid w:val="008F6641"/>
    <w:rsid w:val="0093130E"/>
    <w:rsid w:val="00974125"/>
    <w:rsid w:val="009F2BB3"/>
    <w:rsid w:val="00A03E5B"/>
    <w:rsid w:val="00A27788"/>
    <w:rsid w:val="00A50D63"/>
    <w:rsid w:val="00A83167"/>
    <w:rsid w:val="00A92AFF"/>
    <w:rsid w:val="00AB3347"/>
    <w:rsid w:val="00AE151F"/>
    <w:rsid w:val="00AF7CC8"/>
    <w:rsid w:val="00B035DE"/>
    <w:rsid w:val="00B44518"/>
    <w:rsid w:val="00B46A1F"/>
    <w:rsid w:val="00B97A43"/>
    <w:rsid w:val="00BA57CD"/>
    <w:rsid w:val="00C046FE"/>
    <w:rsid w:val="00C70545"/>
    <w:rsid w:val="00C76F9F"/>
    <w:rsid w:val="00C90CFB"/>
    <w:rsid w:val="00CC06FB"/>
    <w:rsid w:val="00CD68E3"/>
    <w:rsid w:val="00CF4161"/>
    <w:rsid w:val="00CF4995"/>
    <w:rsid w:val="00CF57B0"/>
    <w:rsid w:val="00D4295A"/>
    <w:rsid w:val="00D507F9"/>
    <w:rsid w:val="00D60802"/>
    <w:rsid w:val="00D622D2"/>
    <w:rsid w:val="00D819CF"/>
    <w:rsid w:val="00DB030B"/>
    <w:rsid w:val="00DC4D4C"/>
    <w:rsid w:val="00DE63D1"/>
    <w:rsid w:val="00E05AB4"/>
    <w:rsid w:val="00E20889"/>
    <w:rsid w:val="00E25864"/>
    <w:rsid w:val="00E51214"/>
    <w:rsid w:val="00E6183B"/>
    <w:rsid w:val="00E67C20"/>
    <w:rsid w:val="00E713F6"/>
    <w:rsid w:val="00E87CB6"/>
    <w:rsid w:val="00EC3D1F"/>
    <w:rsid w:val="00EF5E1B"/>
    <w:rsid w:val="00F13B1F"/>
    <w:rsid w:val="00F45598"/>
    <w:rsid w:val="00F654A9"/>
    <w:rsid w:val="00F66E50"/>
    <w:rsid w:val="00FA0E79"/>
    <w:rsid w:val="00FA489C"/>
    <w:rsid w:val="00FC4DD0"/>
    <w:rsid w:val="BCFF5E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40" w:lineRule="auto"/>
      <w:jc w:val="both"/>
    </w:pPr>
    <w:rPr>
      <w:rFonts w:ascii="Calibri" w:hAnsi="Calibri" w:eastAsia="宋体" w:cs="Times New Roman"/>
      <w:kern w:val="2"/>
      <w:sz w:val="21"/>
      <w:szCs w:val="22"/>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5"/>
    <w:semiHidden/>
    <w:unhideWhenUsed/>
    <w:qFormat/>
    <w:uiPriority w:val="99"/>
    <w:pPr>
      <w:jc w:val="left"/>
    </w:pPr>
  </w:style>
  <w:style w:type="paragraph" w:styleId="3">
    <w:name w:val="Balloon Text"/>
    <w:basedOn w:val="1"/>
    <w:link w:val="14"/>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6"/>
    <w:semiHidden/>
    <w:unhideWhenUsed/>
    <w:qFormat/>
    <w:uiPriority w:val="99"/>
    <w:rPr>
      <w:b/>
      <w:bCs/>
    </w:rPr>
  </w:style>
  <w:style w:type="table" w:styleId="8">
    <w:name w:val="Table Grid"/>
    <w:basedOn w:val="7"/>
    <w:qFormat/>
    <w:uiPriority w:val="39"/>
    <w:pPr>
      <w:spacing w:after="0" w:line="240" w:lineRule="auto"/>
    </w:pPr>
    <w:rPr>
      <w:kern w:val="2"/>
      <w:sz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annotation reference"/>
    <w:basedOn w:val="9"/>
    <w:semiHidden/>
    <w:unhideWhenUsed/>
    <w:qFormat/>
    <w:uiPriority w:val="99"/>
    <w:rPr>
      <w:sz w:val="21"/>
      <w:szCs w:val="21"/>
    </w:rPr>
  </w:style>
  <w:style w:type="character" w:customStyle="1" w:styleId="11">
    <w:name w:val="页眉 Char"/>
    <w:basedOn w:val="9"/>
    <w:link w:val="5"/>
    <w:qFormat/>
    <w:uiPriority w:val="99"/>
    <w:rPr>
      <w:sz w:val="18"/>
      <w:szCs w:val="18"/>
    </w:rPr>
  </w:style>
  <w:style w:type="character" w:customStyle="1" w:styleId="12">
    <w:name w:val="页脚 Char"/>
    <w:basedOn w:val="9"/>
    <w:link w:val="4"/>
    <w:qFormat/>
    <w:uiPriority w:val="99"/>
    <w:rPr>
      <w:sz w:val="18"/>
      <w:szCs w:val="18"/>
    </w:rPr>
  </w:style>
  <w:style w:type="character" w:customStyle="1" w:styleId="13">
    <w:name w:val="页眉 字符1"/>
    <w:basedOn w:val="9"/>
    <w:qFormat/>
    <w:uiPriority w:val="99"/>
    <w:rPr>
      <w:sz w:val="18"/>
      <w:szCs w:val="18"/>
    </w:rPr>
  </w:style>
  <w:style w:type="character" w:customStyle="1" w:styleId="14">
    <w:name w:val="批注框文本 Char"/>
    <w:basedOn w:val="9"/>
    <w:link w:val="3"/>
    <w:semiHidden/>
    <w:qFormat/>
    <w:uiPriority w:val="99"/>
    <w:rPr>
      <w:rFonts w:ascii="Calibri" w:hAnsi="Calibri" w:eastAsia="宋体" w:cs="Times New Roman"/>
      <w:kern w:val="2"/>
      <w:sz w:val="18"/>
      <w:szCs w:val="18"/>
    </w:rPr>
  </w:style>
  <w:style w:type="character" w:customStyle="1" w:styleId="15">
    <w:name w:val="批注文字 Char"/>
    <w:basedOn w:val="9"/>
    <w:link w:val="2"/>
    <w:semiHidden/>
    <w:qFormat/>
    <w:uiPriority w:val="99"/>
    <w:rPr>
      <w:rFonts w:ascii="Calibri" w:hAnsi="Calibri" w:eastAsia="宋体" w:cs="Times New Roman"/>
      <w:kern w:val="2"/>
      <w:sz w:val="21"/>
    </w:rPr>
  </w:style>
  <w:style w:type="character" w:customStyle="1" w:styleId="16">
    <w:name w:val="批注主题 Char"/>
    <w:basedOn w:val="15"/>
    <w:link w:val="6"/>
    <w:semiHidden/>
    <w:qFormat/>
    <w:uiPriority w:val="99"/>
    <w:rPr>
      <w:rFonts w:ascii="Calibri" w:hAnsi="Calibri" w:eastAsia="宋体" w:cs="Times New Roman"/>
      <w:b/>
      <w:bCs/>
      <w:kern w:val="2"/>
      <w:sz w:val="21"/>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135</Words>
  <Characters>776</Characters>
  <Lines>6</Lines>
  <Paragraphs>1</Paragraphs>
  <TotalTime>46</TotalTime>
  <ScaleCrop>false</ScaleCrop>
  <LinksUpToDate>false</LinksUpToDate>
  <CharactersWithSpaces>910</CharactersWithSpaces>
  <Application>WPS Office_11.8.2.9864_F1E327BC-269C-435d-A152-05C5408002CA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2021-04-28T20:05:00Z</dcterms:created>
  <dc:creator>FD</dc:creator>
  <cp:lastModifiedBy>greatwall</cp:lastModifiedBy>
  <dcterms:modified xsi:type="dcterms:W3CDTF">2021-07-01T14:50:23Z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2052-11.8.2.9864</vt:lpwstr>
  </property>
</Properties>
</file>