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20"/>
        <w:jc w:val="center"/>
        <w:rPr>
          <w:rFonts w:ascii="Times New Roman" w:hAnsi="Times New Roman" w:eastAsia="华文楷体"/>
          <w:b/>
          <w:bCs/>
          <w:sz w:val="24"/>
          <w:szCs w:val="24"/>
        </w:rPr>
      </w:pPr>
      <w:r>
        <w:rPr>
          <w:rFonts w:ascii="Times New Roman" w:hAnsi="Times New Roman" w:eastAsia="华文楷体"/>
          <w:b/>
          <w:bCs/>
          <w:sz w:val="24"/>
          <w:szCs w:val="24"/>
        </w:rPr>
        <w:t>经营者集中简易案件公示表</w:t>
      </w:r>
    </w:p>
    <w:p>
      <w:pPr>
        <w:snapToGrid w:val="0"/>
        <w:spacing w:after="120"/>
        <w:rPr>
          <w:rFonts w:ascii="Times New Roman" w:hAnsi="Times New Roman" w:eastAsia="仿宋_GB2312"/>
          <w:sz w:val="24"/>
          <w:szCs w:val="24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014"/>
        <w:gridCol w:w="4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sz w:val="24"/>
                <w:szCs w:val="24"/>
              </w:rPr>
              <w:t>加拿大养老金计划投资委员会收购</w:t>
            </w:r>
            <w:r>
              <w:rPr>
                <w:rFonts w:hint="eastAsia" w:ascii="Times New Roman" w:hAnsi="Times New Roman" w:eastAsia="华文楷体"/>
                <w:b/>
                <w:bCs/>
                <w:kern w:val="0"/>
                <w:sz w:val="24"/>
                <w:szCs w:val="24"/>
              </w:rPr>
              <w:t>FIP IV</w:t>
            </w: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华文楷体"/>
                <w:sz w:val="24"/>
                <w:szCs w:val="24"/>
              </w:rPr>
              <w:t>股权案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本交易涉及加拿大养老金计划投资委员会（“</w:t>
            </w:r>
            <w:r>
              <w:rPr>
                <w:rFonts w:hint="eastAsia" w:ascii="Times New Roman" w:hAnsi="Times New Roman" w:eastAsia="华文楷体"/>
                <w:b/>
                <w:bCs/>
                <w:kern w:val="0"/>
                <w:sz w:val="24"/>
                <w:szCs w:val="24"/>
              </w:rPr>
              <w:t>CPPIB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”）间接收购GLP Investimentos IV Fundo de Investimento em Participações Multiestrategia公司（“</w:t>
            </w:r>
            <w:r>
              <w:rPr>
                <w:rFonts w:hint="eastAsia" w:ascii="Times New Roman" w:hAnsi="Times New Roman" w:eastAsia="华文楷体"/>
                <w:b/>
                <w:bCs/>
                <w:kern w:val="0"/>
                <w:sz w:val="24"/>
                <w:szCs w:val="24"/>
              </w:rPr>
              <w:t>FIP IV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”）股权事宜。本交易完成后，FIP IV将由CPPIB、普洛斯</w:t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巴西投资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控股</w:t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私人有限公司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 w:eastAsia="华文楷体"/>
                <w:b/>
                <w:bCs/>
                <w:kern w:val="0"/>
                <w:sz w:val="24"/>
                <w:szCs w:val="24"/>
              </w:rPr>
              <w:t>GLPBIH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”）以及</w:t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Silver Opal B 2015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公司（“</w:t>
            </w:r>
            <w:r>
              <w:rPr>
                <w:rFonts w:ascii="Times New Roman" w:hAnsi="Times New Roman" w:eastAsia="华文楷体"/>
                <w:b/>
                <w:bCs/>
                <w:kern w:val="0"/>
                <w:sz w:val="24"/>
                <w:szCs w:val="24"/>
              </w:rPr>
              <w:t>Silver Opal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”）共同控制。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1.</w:t>
            </w:r>
            <w:r>
              <w:rPr>
                <w:rFonts w:ascii="Times New Roman" w:hAnsi="Times New Roman" w:eastAsia="仿宋_GB2312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CPPIB</w:t>
            </w:r>
          </w:p>
        </w:tc>
        <w:tc>
          <w:tcPr>
            <w:tcW w:w="4935" w:type="dxa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CPPIB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是一家专业投资管理机构，</w:t>
            </w: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代表约</w:t>
            </w:r>
            <w:r>
              <w:rPr>
                <w:rFonts w:ascii="Times New Roman" w:hAnsi="Times New Roman" w:eastAsia="华文楷体"/>
                <w:sz w:val="24"/>
                <w:szCs w:val="24"/>
              </w:rPr>
              <w:t>2000</w:t>
            </w: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万加拿大出资人和受益人以加拿大养老金计划的资金进行投资</w:t>
            </w:r>
            <w:r>
              <w:rPr>
                <w:rFonts w:hint="eastAsia" w:ascii="Times New Roman" w:hAnsi="Times New Roman" w:eastAsia="华文楷体"/>
                <w:kern w:val="0"/>
                <w:sz w:val="24"/>
                <w:szCs w:val="24"/>
              </w:rPr>
              <w:t>。CPPIB总部位于加拿大安大略省多伦多市，并在香港、伦敦、卢森堡、孟买、纽约、旧金山、圣保罗和悉尼设有办事处。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2. Silver Opal</w:t>
            </w:r>
          </w:p>
        </w:tc>
        <w:tc>
          <w:tcPr>
            <w:tcW w:w="4935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Silver Opal 是一家由阿布扎比投资局最终间接持有的控股公司。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3.</w:t>
            </w:r>
            <w:r>
              <w:rPr>
                <w:rFonts w:ascii="Times New Roman" w:hAnsi="Times New Roman" w:eastAsia="仿宋_GB2312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GLPBIH</w:t>
            </w:r>
          </w:p>
        </w:tc>
        <w:tc>
          <w:tcPr>
            <w:tcW w:w="4935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GLPBIH 是一家旨在持有和管理普洛斯集团在巴西投资项目的公司。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仿宋_GB2312"/>
                <w:bCs/>
                <w:sz w:val="24"/>
                <w:szCs w:val="24"/>
                <w:lang w:val="pt-BR"/>
              </w:rPr>
              <w:t>FIP IV</w:t>
            </w:r>
          </w:p>
        </w:tc>
        <w:tc>
          <w:tcPr>
            <w:tcW w:w="4935" w:type="dxa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FIP IV 是一家旨在持有巴西圣保罗州投资项目的公司。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hAnsi="Times New Roman" w:eastAsia="华文楷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华文楷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hAnsi="Times New Roman" w:eastAsia="华文楷体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/>
                <w:sz w:val="24"/>
                <w:szCs w:val="24"/>
              </w:rPr>
              <w:t>无</w:t>
            </w:r>
          </w:p>
        </w:tc>
      </w:tr>
    </w:tbl>
    <w:p>
      <w:pPr>
        <w:snapToGrid w:val="0"/>
        <w:spacing w:after="120"/>
        <w:rPr>
          <w:rFonts w:ascii="Times New Roman" w:hAnsi="Times New Roma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038"/>
    <w:rsid w:val="00001545"/>
    <w:rsid w:val="00003857"/>
    <w:rsid w:val="000A7E19"/>
    <w:rsid w:val="000E764E"/>
    <w:rsid w:val="000F4D6E"/>
    <w:rsid w:val="001539DD"/>
    <w:rsid w:val="00162F94"/>
    <w:rsid w:val="00190402"/>
    <w:rsid w:val="001B60EF"/>
    <w:rsid w:val="001F2432"/>
    <w:rsid w:val="0023250D"/>
    <w:rsid w:val="0027647C"/>
    <w:rsid w:val="002D0608"/>
    <w:rsid w:val="002D436D"/>
    <w:rsid w:val="00316408"/>
    <w:rsid w:val="00320070"/>
    <w:rsid w:val="0032149B"/>
    <w:rsid w:val="0034372C"/>
    <w:rsid w:val="0036771F"/>
    <w:rsid w:val="00391E7D"/>
    <w:rsid w:val="00414F95"/>
    <w:rsid w:val="004748E5"/>
    <w:rsid w:val="004817A6"/>
    <w:rsid w:val="004B4DD1"/>
    <w:rsid w:val="004D7248"/>
    <w:rsid w:val="004F7D46"/>
    <w:rsid w:val="00515F77"/>
    <w:rsid w:val="005E392E"/>
    <w:rsid w:val="005E6A0C"/>
    <w:rsid w:val="00621CE4"/>
    <w:rsid w:val="006562CB"/>
    <w:rsid w:val="006624F1"/>
    <w:rsid w:val="006823F0"/>
    <w:rsid w:val="006865E6"/>
    <w:rsid w:val="006C54C2"/>
    <w:rsid w:val="006D0C60"/>
    <w:rsid w:val="00742FEC"/>
    <w:rsid w:val="00782DE2"/>
    <w:rsid w:val="007B4E45"/>
    <w:rsid w:val="007C5C3C"/>
    <w:rsid w:val="007D48DE"/>
    <w:rsid w:val="007F3E01"/>
    <w:rsid w:val="00847265"/>
    <w:rsid w:val="00862F51"/>
    <w:rsid w:val="00864F2B"/>
    <w:rsid w:val="008668E3"/>
    <w:rsid w:val="00873737"/>
    <w:rsid w:val="008877B7"/>
    <w:rsid w:val="008C1EE5"/>
    <w:rsid w:val="008D0561"/>
    <w:rsid w:val="008F5261"/>
    <w:rsid w:val="009A309A"/>
    <w:rsid w:val="009F3676"/>
    <w:rsid w:val="00A17498"/>
    <w:rsid w:val="00A33CEC"/>
    <w:rsid w:val="00A523E6"/>
    <w:rsid w:val="00A65E47"/>
    <w:rsid w:val="00AA09F4"/>
    <w:rsid w:val="00AA409B"/>
    <w:rsid w:val="00AA41FD"/>
    <w:rsid w:val="00AB5B9E"/>
    <w:rsid w:val="00AF7386"/>
    <w:rsid w:val="00B17C2A"/>
    <w:rsid w:val="00B45003"/>
    <w:rsid w:val="00B60519"/>
    <w:rsid w:val="00C27009"/>
    <w:rsid w:val="00C350C3"/>
    <w:rsid w:val="00C44038"/>
    <w:rsid w:val="00CE4D73"/>
    <w:rsid w:val="00D546BD"/>
    <w:rsid w:val="00D659AE"/>
    <w:rsid w:val="00DE322B"/>
    <w:rsid w:val="00E871F9"/>
    <w:rsid w:val="00EB26D9"/>
    <w:rsid w:val="00EB4FD3"/>
    <w:rsid w:val="00ED5B87"/>
    <w:rsid w:val="00EF6FB1"/>
    <w:rsid w:val="00F12B02"/>
    <w:rsid w:val="00F657A6"/>
    <w:rsid w:val="00FA7A0D"/>
    <w:rsid w:val="00FF4097"/>
    <w:rsid w:val="314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华文楷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320"/>
        <w:tab w:val="right" w:pos="8640"/>
      </w:tabs>
    </w:pPr>
  </w:style>
  <w:style w:type="paragraph" w:styleId="4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customStyle="1" w:styleId="7">
    <w:name w:val="Balloon Text Char"/>
    <w:basedOn w:val="6"/>
    <w:link w:val="2"/>
    <w:semiHidden/>
    <w:uiPriority w:val="99"/>
    <w:rPr>
      <w:rFonts w:ascii="Segoe UI" w:hAnsi="Segoe UI" w:eastAsia="宋体" w:cs="Segoe UI"/>
      <w:kern w:val="2"/>
      <w:sz w:val="18"/>
      <w:szCs w:val="18"/>
    </w:rPr>
  </w:style>
  <w:style w:type="character" w:customStyle="1" w:styleId="8">
    <w:name w:val="Header Char"/>
    <w:basedOn w:val="6"/>
    <w:link w:val="4"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9">
    <w:name w:val="Footer Char"/>
    <w:basedOn w:val="6"/>
    <w:link w:val="3"/>
    <w:uiPriority w:val="99"/>
    <w:rPr>
      <w:rFonts w:ascii="Calibri" w:hAnsi="Calibri" w:eastAsia="宋体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FreshfieldsBruckhausDeringer</Company>
  <Pages>2</Pages>
  <Words>136</Words>
  <Characters>779</Characters>
  <Lines>6</Lines>
  <Paragraphs>1</Paragraphs>
  <TotalTime>0</TotalTime>
  <ScaleCrop>false</ScaleCrop>
  <LinksUpToDate>false</LinksUpToDate>
  <CharactersWithSpaces>914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2021-06-23T07:58:00Z</dcterms:created>
  <dc:creator>然</dc:creator>
  <cp:lastModifiedBy>然</cp:lastModifiedBy>
  <dcterms:modified xsi:type="dcterms:W3CDTF">2021-07-07T06:46:36Z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7F225117EF674894A40BE1C69476C736</vt:lpwstr>
  </property>
</Properties>
</file>