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杭州市国有资本投资运营有限公司收购西湖电子集团有限公司股权案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杭州市国有资本投资运营有限公司（简称“</w:t>
            </w:r>
            <w:r>
              <w:rPr>
                <w:rFonts w:hint="eastAsia" w:ascii="仿宋" w:hAnsi="仿宋" w:eastAsia="仿宋" w:cs="宋体"/>
                <w:b/>
                <w:bCs/>
                <w:color w:val="333333"/>
                <w:kern w:val="0"/>
                <w:sz w:val="24"/>
                <w:szCs w:val="24"/>
              </w:rPr>
              <w:t>杭州资本</w:t>
            </w:r>
            <w:r>
              <w:rPr>
                <w:rFonts w:hint="eastAsia" w:ascii="仿宋" w:hAnsi="仿宋" w:eastAsia="仿宋" w:cs="宋体"/>
                <w:color w:val="333333"/>
                <w:kern w:val="0"/>
                <w:sz w:val="24"/>
                <w:szCs w:val="24"/>
              </w:rPr>
              <w:t>”）</w:t>
            </w:r>
            <w:r>
              <w:rPr>
                <w:rFonts w:hint="eastAsia" w:ascii="仿宋" w:hAnsi="仿宋" w:eastAsia="仿宋" w:cs="宋体"/>
                <w:color w:val="333333"/>
                <w:kern w:val="0"/>
                <w:sz w:val="24"/>
                <w:szCs w:val="24"/>
                <w:lang w:val="en-US" w:eastAsia="zh-CN"/>
              </w:rPr>
              <w:t>拟</w:t>
            </w:r>
            <w:r>
              <w:rPr>
                <w:rFonts w:hint="eastAsia" w:ascii="仿宋" w:hAnsi="仿宋" w:eastAsia="仿宋" w:cs="宋体"/>
                <w:color w:val="333333"/>
                <w:kern w:val="0"/>
                <w:sz w:val="24"/>
                <w:szCs w:val="24"/>
              </w:rPr>
              <w:t>收购西湖电子集团有限公司（简称“</w:t>
            </w:r>
            <w:r>
              <w:rPr>
                <w:rFonts w:hint="eastAsia" w:ascii="仿宋" w:hAnsi="仿宋" w:eastAsia="仿宋" w:cs="宋体"/>
                <w:b/>
                <w:bCs/>
                <w:color w:val="333333"/>
                <w:kern w:val="0"/>
                <w:sz w:val="24"/>
                <w:szCs w:val="24"/>
              </w:rPr>
              <w:t>西湖电子</w:t>
            </w:r>
            <w:r>
              <w:rPr>
                <w:rFonts w:hint="eastAsia" w:ascii="仿宋" w:hAnsi="仿宋" w:eastAsia="仿宋" w:cs="宋体"/>
                <w:color w:val="333333"/>
                <w:kern w:val="0"/>
                <w:sz w:val="24"/>
                <w:szCs w:val="24"/>
              </w:rPr>
              <w:t>”）90%的股权（简称“</w:t>
            </w:r>
            <w:r>
              <w:rPr>
                <w:rFonts w:hint="eastAsia" w:ascii="仿宋" w:hAnsi="仿宋" w:eastAsia="仿宋" w:cs="宋体"/>
                <w:b/>
                <w:bCs/>
                <w:color w:val="333333"/>
                <w:kern w:val="0"/>
                <w:sz w:val="24"/>
                <w:szCs w:val="24"/>
              </w:rPr>
              <w:t>本次交易</w:t>
            </w:r>
            <w:r>
              <w:rPr>
                <w:rFonts w:hint="eastAsia" w:ascii="仿宋" w:hAnsi="仿宋" w:eastAsia="仿宋" w:cs="宋体"/>
                <w:color w:val="333333"/>
                <w:kern w:val="0"/>
                <w:sz w:val="24"/>
                <w:szCs w:val="24"/>
              </w:rPr>
              <w:t>”）；本次交易完成后，杭州资本将成为西湖电子的控股股东，取得西湖电子的</w:t>
            </w:r>
            <w:r>
              <w:rPr>
                <w:rFonts w:hint="eastAsia" w:ascii="仿宋" w:hAnsi="仿宋" w:eastAsia="仿宋" w:cs="宋体"/>
                <w:color w:val="333333"/>
                <w:kern w:val="0"/>
                <w:sz w:val="24"/>
                <w:szCs w:val="24"/>
                <w:lang w:val="en-US" w:eastAsia="zh-CN"/>
              </w:rPr>
              <w:t>单独</w:t>
            </w:r>
            <w:r>
              <w:rPr>
                <w:rFonts w:hint="eastAsia" w:ascii="仿宋" w:hAnsi="仿宋" w:eastAsia="仿宋" w:cs="宋体"/>
                <w:color w:val="333333"/>
                <w:kern w:val="0"/>
                <w:sz w:val="24"/>
                <w:szCs w:val="24"/>
              </w:rPr>
              <w:t>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1、杭州市国有资本投资运营有限公司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杭州资本于2018年11月28日设立，注册资本100亿元，杭州市国资委为履行出资人职责的机构，是杭州市第一家市级国有独资的国有资本投资、运营公司，主要从事国有资本投资、管理与运作，包括战略投资、基金投资、股权管理、资产运营、资本运作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2、西湖电子集团有限公司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西湖电子于1995 年9 月18日设立，注册资本为2</w:t>
            </w:r>
            <w:r>
              <w:rPr>
                <w:rFonts w:ascii="仿宋" w:hAnsi="仿宋" w:eastAsia="仿宋" w:cs="宋体"/>
                <w:color w:val="333333"/>
                <w:kern w:val="0"/>
                <w:sz w:val="24"/>
                <w:szCs w:val="24"/>
              </w:rPr>
              <w:t>6</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6</w:t>
            </w:r>
            <w:r>
              <w:rPr>
                <w:rFonts w:hint="eastAsia" w:ascii="仿宋" w:hAnsi="仿宋" w:eastAsia="仿宋" w:cs="宋体"/>
                <w:color w:val="333333"/>
                <w:kern w:val="0"/>
                <w:sz w:val="24"/>
                <w:szCs w:val="24"/>
              </w:rPr>
              <w:t>00万元，系杭州市人民政府批准设立、由杭州市人民政府授权杭州市国资委履行出资人职责组建的国有独资公司，主要从事智能终端显示设备的制造与销售等业务。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eastAsia="黑体"/>
                <w:sz w:val="24"/>
                <w:szCs w:val="24"/>
              </w:rPr>
              <w:sym w:font="Wingdings" w:char="F0FE"/>
            </w:r>
            <w:r>
              <w:rPr>
                <w:rFonts w:eastAsia="黑体"/>
                <w:sz w:val="24"/>
                <w:szCs w:val="24"/>
              </w:rPr>
              <w:t xml:space="preserve"> </w:t>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Merge w:val="restart"/>
                </w:tcPr>
                <w:p>
                  <w:pPr>
                    <w:spacing w:line="500" w:lineRule="exact"/>
                    <w:jc w:val="center"/>
                    <w:rPr>
                      <w:rFonts w:ascii="仿宋" w:hAnsi="仿宋" w:eastAsia="仿宋" w:cs="宋体"/>
                      <w:color w:val="333333"/>
                      <w:kern w:val="0"/>
                      <w:sz w:val="24"/>
                      <w:szCs w:val="24"/>
                    </w:rPr>
                  </w:pPr>
                  <w:bookmarkStart w:id="0" w:name="_GoBack"/>
                  <w:bookmarkEnd w:id="0"/>
                  <w:r>
                    <w:rPr>
                      <w:rFonts w:hint="eastAsia" w:ascii="仿宋" w:hAnsi="仿宋" w:eastAsia="仿宋" w:cs="宋体"/>
                      <w:color w:val="333333"/>
                      <w:kern w:val="0"/>
                      <w:sz w:val="24"/>
                      <w:szCs w:val="24"/>
                    </w:rPr>
                    <w:t>相关产品市场</w:t>
                  </w:r>
                </w:p>
              </w:tc>
              <w:tc>
                <w:tcPr>
                  <w:tcW w:w="1681" w:type="dxa"/>
                  <w:vMerge w:val="restart"/>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w:t>
                  </w:r>
                </w:p>
              </w:tc>
              <w:tc>
                <w:tcPr>
                  <w:tcW w:w="3362" w:type="dxa"/>
                  <w:gridSpan w:val="2"/>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Merge w:val="continue"/>
                </w:tcPr>
                <w:p>
                  <w:pPr>
                    <w:spacing w:line="500" w:lineRule="exact"/>
                    <w:jc w:val="center"/>
                    <w:rPr>
                      <w:rFonts w:ascii="仿宋" w:hAnsi="仿宋" w:eastAsia="仿宋" w:cs="宋体"/>
                      <w:color w:val="333333"/>
                      <w:kern w:val="0"/>
                      <w:sz w:val="24"/>
                      <w:szCs w:val="24"/>
                    </w:rPr>
                  </w:pPr>
                </w:p>
              </w:tc>
              <w:tc>
                <w:tcPr>
                  <w:tcW w:w="1681" w:type="dxa"/>
                  <w:vMerge w:val="continue"/>
                </w:tcPr>
                <w:p>
                  <w:pPr>
                    <w:spacing w:line="500" w:lineRule="exact"/>
                    <w:jc w:val="center"/>
                    <w:rPr>
                      <w:rFonts w:ascii="仿宋" w:hAnsi="仿宋" w:eastAsia="仿宋" w:cs="宋体"/>
                      <w:color w:val="333333"/>
                      <w:kern w:val="0"/>
                      <w:sz w:val="24"/>
                      <w:szCs w:val="24"/>
                    </w:rPr>
                  </w:pP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杭州资本</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西湖电子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pPr>
                    <w:spacing w:line="500" w:lineRule="exact"/>
                    <w:rPr>
                      <w:rFonts w:ascii="仿宋" w:hAnsi="仿宋" w:eastAsia="仿宋" w:cs="宋体"/>
                      <w:color w:val="333333"/>
                      <w:kern w:val="0"/>
                      <w:sz w:val="24"/>
                      <w:szCs w:val="24"/>
                      <w:highlight w:val="yellow"/>
                    </w:rPr>
                  </w:pPr>
                  <w:r>
                    <w:rPr>
                      <w:rFonts w:hint="eastAsia" w:ascii="仿宋" w:hAnsi="仿宋" w:eastAsia="仿宋" w:cs="宋体"/>
                      <w:color w:val="333333"/>
                      <w:kern w:val="0"/>
                      <w:sz w:val="24"/>
                      <w:szCs w:val="24"/>
                    </w:rPr>
                    <w:t>智能终端显示设备</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中国境内市场</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0-</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pPr>
                    <w:spacing w:line="500" w:lineRule="exact"/>
                    <w:rPr>
                      <w:rFonts w:ascii="仿宋" w:hAnsi="仿宋" w:eastAsia="仿宋" w:cs="宋体"/>
                      <w:color w:val="333333"/>
                      <w:kern w:val="0"/>
                      <w:sz w:val="24"/>
                      <w:szCs w:val="24"/>
                      <w:highlight w:val="yellow"/>
                    </w:rPr>
                  </w:pPr>
                  <w:r>
                    <w:rPr>
                      <w:rFonts w:hint="eastAsia" w:ascii="仿宋" w:hAnsi="仿宋" w:eastAsia="仿宋" w:cs="宋体"/>
                      <w:color w:val="333333"/>
                      <w:kern w:val="0"/>
                      <w:sz w:val="24"/>
                      <w:szCs w:val="24"/>
                    </w:rPr>
                    <w:t>聚酯塑料薄膜</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中国境内市场</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p>
              </w:tc>
              <w:tc>
                <w:tcPr>
                  <w:tcW w:w="1681" w:type="dxa"/>
                </w:tcPr>
                <w:p>
                  <w:pPr>
                    <w:spacing w:line="5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Pr>
                <w:p>
                  <w:pPr>
                    <w:spacing w:line="500" w:lineRule="exact"/>
                    <w:rPr>
                      <w:rFonts w:ascii="仿宋" w:hAnsi="仿宋" w:eastAsia="仿宋" w:cs="宋体"/>
                      <w:color w:val="333333"/>
                      <w:kern w:val="0"/>
                      <w:sz w:val="24"/>
                      <w:szCs w:val="24"/>
                      <w:highlight w:val="yellow"/>
                    </w:rPr>
                  </w:pPr>
                  <w:r>
                    <w:rPr>
                      <w:rFonts w:hint="eastAsia" w:ascii="仿宋" w:hAnsi="仿宋" w:eastAsia="仿宋" w:cs="宋体"/>
                      <w:color w:val="333333"/>
                      <w:kern w:val="0"/>
                      <w:sz w:val="24"/>
                      <w:szCs w:val="24"/>
                    </w:rPr>
                    <w:t>铝材销售</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中国境内市场</w:t>
                  </w:r>
                </w:p>
              </w:tc>
              <w:tc>
                <w:tcPr>
                  <w:tcW w:w="1681" w:type="dxa"/>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p>
              </w:tc>
              <w:tc>
                <w:tcPr>
                  <w:tcW w:w="1681" w:type="dxa"/>
                </w:tcPr>
                <w:p>
                  <w:pPr>
                    <w:spacing w:line="5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p>
              </w:tc>
            </w:tr>
          </w:tbl>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注解：</w:t>
      </w:r>
    </w:p>
    <w:p>
      <w:pPr>
        <w:snapToGrid w:val="0"/>
        <w:spacing w:line="360" w:lineRule="auto"/>
        <w:ind w:firstLine="480" w:firstLineChars="20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2.申报方申请简易案件的理由是基于第4项、第5项时，无须在备注中说明相关市场和市场份额。</w:t>
      </w:r>
      <w:r>
        <w:rPr>
          <w:rFonts w:hint="eastAsia" w:ascii="仿宋" w:hAnsi="仿宋" w:eastAsia="仿宋" w:cs="宋体"/>
          <w:color w:val="333333"/>
          <w:kern w:val="0"/>
          <w:sz w:val="24"/>
          <w:szCs w:val="24"/>
        </w:rPr>
        <w:br w:type="textWrapping"/>
      </w:r>
      <w:r>
        <w:rPr>
          <w:rFonts w:hint="eastAsia" w:ascii="仿宋" w:hAnsi="仿宋" w:eastAsia="仿宋" w:cs="宋体"/>
          <w:color w:val="333333"/>
          <w:kern w:val="0"/>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0471"/>
    <w:rsid w:val="00092A55"/>
    <w:rsid w:val="000D091E"/>
    <w:rsid w:val="000D7EBA"/>
    <w:rsid w:val="00113765"/>
    <w:rsid w:val="001164CD"/>
    <w:rsid w:val="00155717"/>
    <w:rsid w:val="001668BA"/>
    <w:rsid w:val="00167931"/>
    <w:rsid w:val="001837A3"/>
    <w:rsid w:val="001A770B"/>
    <w:rsid w:val="001C52BC"/>
    <w:rsid w:val="001C6DF6"/>
    <w:rsid w:val="00217B08"/>
    <w:rsid w:val="0024102A"/>
    <w:rsid w:val="0026797B"/>
    <w:rsid w:val="00291505"/>
    <w:rsid w:val="002B75E4"/>
    <w:rsid w:val="002C0DBD"/>
    <w:rsid w:val="002C5D6C"/>
    <w:rsid w:val="002F28B0"/>
    <w:rsid w:val="00315936"/>
    <w:rsid w:val="0034174B"/>
    <w:rsid w:val="00342E94"/>
    <w:rsid w:val="003C0AEB"/>
    <w:rsid w:val="003D1F60"/>
    <w:rsid w:val="00407F9C"/>
    <w:rsid w:val="00456EFE"/>
    <w:rsid w:val="00477BC6"/>
    <w:rsid w:val="00497991"/>
    <w:rsid w:val="004A4D55"/>
    <w:rsid w:val="004B2808"/>
    <w:rsid w:val="004D5207"/>
    <w:rsid w:val="004F7688"/>
    <w:rsid w:val="00523C7A"/>
    <w:rsid w:val="005423B3"/>
    <w:rsid w:val="005A134C"/>
    <w:rsid w:val="005C25FF"/>
    <w:rsid w:val="005D040D"/>
    <w:rsid w:val="005D31BE"/>
    <w:rsid w:val="005F646A"/>
    <w:rsid w:val="00617E2C"/>
    <w:rsid w:val="006467D8"/>
    <w:rsid w:val="00655CFA"/>
    <w:rsid w:val="00667160"/>
    <w:rsid w:val="006A531B"/>
    <w:rsid w:val="006A7B52"/>
    <w:rsid w:val="006D3211"/>
    <w:rsid w:val="006F6B4D"/>
    <w:rsid w:val="006F7693"/>
    <w:rsid w:val="00710140"/>
    <w:rsid w:val="00723074"/>
    <w:rsid w:val="00732CA7"/>
    <w:rsid w:val="007667BE"/>
    <w:rsid w:val="00775464"/>
    <w:rsid w:val="007B3320"/>
    <w:rsid w:val="007C47F4"/>
    <w:rsid w:val="007D64FE"/>
    <w:rsid w:val="007F00F4"/>
    <w:rsid w:val="007F0E24"/>
    <w:rsid w:val="007F179E"/>
    <w:rsid w:val="007F2275"/>
    <w:rsid w:val="0080398B"/>
    <w:rsid w:val="008652F7"/>
    <w:rsid w:val="00894850"/>
    <w:rsid w:val="00896354"/>
    <w:rsid w:val="008E0C05"/>
    <w:rsid w:val="008F3C3A"/>
    <w:rsid w:val="0090147C"/>
    <w:rsid w:val="00915F0F"/>
    <w:rsid w:val="009532DF"/>
    <w:rsid w:val="00970DCB"/>
    <w:rsid w:val="00970E78"/>
    <w:rsid w:val="0099309E"/>
    <w:rsid w:val="00997019"/>
    <w:rsid w:val="009A5029"/>
    <w:rsid w:val="009D38D5"/>
    <w:rsid w:val="009E30A7"/>
    <w:rsid w:val="00A53F26"/>
    <w:rsid w:val="00A623DB"/>
    <w:rsid w:val="00A72165"/>
    <w:rsid w:val="00A80D39"/>
    <w:rsid w:val="00AA0CC5"/>
    <w:rsid w:val="00B121A9"/>
    <w:rsid w:val="00B16AFE"/>
    <w:rsid w:val="00B4191D"/>
    <w:rsid w:val="00B47C86"/>
    <w:rsid w:val="00B65DD5"/>
    <w:rsid w:val="00BD10B6"/>
    <w:rsid w:val="00BE012A"/>
    <w:rsid w:val="00BE7459"/>
    <w:rsid w:val="00BF2EDF"/>
    <w:rsid w:val="00C07076"/>
    <w:rsid w:val="00C50BC9"/>
    <w:rsid w:val="00C61B59"/>
    <w:rsid w:val="00C65627"/>
    <w:rsid w:val="00C92BC4"/>
    <w:rsid w:val="00CB00DF"/>
    <w:rsid w:val="00CE6D01"/>
    <w:rsid w:val="00D1242B"/>
    <w:rsid w:val="00D539EC"/>
    <w:rsid w:val="00D73C72"/>
    <w:rsid w:val="00DC51A4"/>
    <w:rsid w:val="00DC55EC"/>
    <w:rsid w:val="00DD1C12"/>
    <w:rsid w:val="00DE5DE1"/>
    <w:rsid w:val="00E0592B"/>
    <w:rsid w:val="00E15B0D"/>
    <w:rsid w:val="00E31738"/>
    <w:rsid w:val="00E86786"/>
    <w:rsid w:val="00EB0AA6"/>
    <w:rsid w:val="00ED2F80"/>
    <w:rsid w:val="00F1624E"/>
    <w:rsid w:val="00F2529A"/>
    <w:rsid w:val="00F32F8A"/>
    <w:rsid w:val="00F43059"/>
    <w:rsid w:val="00F810AA"/>
    <w:rsid w:val="00FB43EC"/>
    <w:rsid w:val="00FB6B40"/>
    <w:rsid w:val="00FD1D14"/>
    <w:rsid w:val="00FF0CC2"/>
    <w:rsid w:val="0DE363E3"/>
    <w:rsid w:val="2C1A574A"/>
    <w:rsid w:val="3898450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rFonts w:ascii="Calibri" w:hAnsi="Calibri" w:eastAsia="宋体" w:cs="Times New Roman"/>
      <w:sz w:val="18"/>
      <w:szCs w:val="18"/>
    </w:rPr>
  </w:style>
  <w:style w:type="character" w:customStyle="1" w:styleId="8">
    <w:name w:val="页脚 字符"/>
    <w:basedOn w:val="6"/>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175</Words>
  <Characters>998</Characters>
  <Lines>8</Lines>
  <Paragraphs>2</Paragraphs>
  <TotalTime>50</TotalTime>
  <ScaleCrop>false</ScaleCrop>
  <LinksUpToDate>false</LinksUpToDate>
  <CharactersWithSpaces>1171</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2021-05-06T02:06:00Z</dcterms:created>
  <dc:creator>陈媚</dc:creator>
  <cp:lastModifiedBy>测试15</cp:lastModifiedBy>
  <dcterms:modified xsi:type="dcterms:W3CDTF">2021-08-10T09:30:53Z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