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968"/>
        <w:gridCol w:w="5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案件名称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安大略省教师退休基金会委员会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收购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Greenstone Holdco Pty Ltd股权案（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“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本次交易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”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13" w:type="dxa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交易概况（限200字内）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本次交易涉及安大略省教师退休基金会委员会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（“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OTPP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”）从现有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Greenstone Holdco Pty Ltd(“目标公司”)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股东收购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目标公司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的股权。</w:t>
            </w:r>
          </w:p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本次交易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完成后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，目标公司将由OTPP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，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魁北克储蓄投资集团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(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“CDPQ”) 和Hollard Investments B.V. (“HIBV”)共同控制。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restart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参与集中的经营者简介</w:t>
            </w:r>
          </w:p>
        </w:tc>
        <w:tc>
          <w:tcPr>
            <w:tcW w:w="1968" w:type="dxa"/>
          </w:tcPr>
          <w:p>
            <w:pPr>
              <w:snapToGrid w:val="0"/>
              <w:jc w:val="left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1、OTPP</w:t>
            </w:r>
          </w:p>
        </w:tc>
        <w:tc>
          <w:tcPr>
            <w:tcW w:w="5077" w:type="dxa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OTPP是加拿大最大的单一型专业退休金计划机构。OTPP负责代表185,000名安大略学校教师和142,000名退休人员管理退休金收益以及对退休金计划资产进行投资。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968" w:type="dxa"/>
          </w:tcPr>
          <w:p>
            <w:pPr>
              <w:snapToGrid w:val="0"/>
              <w:jc w:val="left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2、CDPQ</w:t>
            </w:r>
          </w:p>
        </w:tc>
        <w:tc>
          <w:tcPr>
            <w:tcW w:w="5077" w:type="dxa"/>
          </w:tcPr>
          <w:p>
            <w:pPr>
              <w:snapToGrid w:val="0"/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CDPQ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是根据加拿大魁北克省国民议会的一项法案于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1965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年设立并受该法案监管的法人，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CDPQ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没有股本或股东。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CDPQ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是一家长期机构投资人，主要管理魁北克省公共和准公共养老金和保险计划的资金。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CDPQ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在全球范围内将这些资金投资于三种主要资产类型：股票、固定收益和不动产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968" w:type="dxa"/>
          </w:tcPr>
          <w:p>
            <w:pPr>
              <w:snapToGrid w:val="0"/>
              <w:jc w:val="left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3. HIBV</w:t>
            </w:r>
          </w:p>
        </w:tc>
        <w:tc>
          <w:tcPr>
            <w:tcW w:w="5077" w:type="dxa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H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IBV</w:t>
            </w: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是一家控股公司，持有</w:t>
            </w:r>
            <w:r>
              <w:rPr>
                <w:rFonts w:hint="eastAsia" w:cs="Arial" w:asciiTheme="majorEastAsia" w:hAnsiTheme="majorEastAsia" w:eastAsiaTheme="majorEastAsia"/>
                <w:sz w:val="22"/>
              </w:rPr>
              <w:t>澳大利亚和新西兰保险业务的权益。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968" w:type="dxa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4. 目标公司</w:t>
            </w:r>
          </w:p>
        </w:tc>
        <w:tc>
          <w:tcPr>
            <w:tcW w:w="5077" w:type="dxa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目标公司在</w:t>
            </w:r>
            <w:r>
              <w:rPr>
                <w:rFonts w:hint="eastAsia" w:cs="Arial" w:asciiTheme="majorEastAsia" w:hAnsiTheme="majorEastAsia" w:eastAsiaTheme="majorEastAsia"/>
                <w:sz w:val="22"/>
              </w:rPr>
              <w:t>澳大利亚和新西兰提供</w:t>
            </w:r>
            <w:r>
              <w:rPr>
                <w:rFonts w:cs="Arial" w:asciiTheme="majorEastAsia" w:hAnsiTheme="majorEastAsia" w:eastAsiaTheme="majorEastAsia"/>
                <w:sz w:val="22"/>
              </w:rPr>
              <w:t>人身保险</w:t>
            </w:r>
            <w:r>
              <w:rPr>
                <w:rFonts w:hint="eastAsia" w:cs="Arial" w:asciiTheme="majorEastAsia" w:hAnsiTheme="majorEastAsia" w:eastAsiaTheme="majorEastAsia"/>
                <w:sz w:val="22"/>
              </w:rPr>
              <w:t>及</w:t>
            </w:r>
            <w:r>
              <w:rPr>
                <w:rFonts w:cs="Arial" w:asciiTheme="majorEastAsia" w:hAnsiTheme="majorEastAsia" w:eastAsiaTheme="majorEastAsia"/>
                <w:sz w:val="22"/>
              </w:rPr>
              <w:t>非人身保险</w:t>
            </w:r>
            <w:r>
              <w:rPr>
                <w:rFonts w:hint="eastAsia" w:cs="Arial" w:asciiTheme="majorEastAsia" w:hAnsiTheme="majorEastAsia" w:eastAsiaTheme="majorEastAsia"/>
                <w:sz w:val="22"/>
              </w:rPr>
              <w:t>产品。它</w:t>
            </w:r>
            <w:r>
              <w:rPr>
                <w:rFonts w:cs="Arial"/>
                <w:szCs w:val="20"/>
              </w:rPr>
              <w:t>仅在澳大利亚和新西兰开展业务</w:t>
            </w:r>
            <w:r>
              <w:rPr>
                <w:rFonts w:hint="eastAsia" w:cs="Arial" w:asciiTheme="majorEastAsia" w:hAnsiTheme="majorEastAsia" w:eastAsiaTheme="majorEastAsia"/>
                <w:sz w:val="22"/>
              </w:rPr>
              <w:t>，在其他国家并没有任何业务。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13" w:type="dxa"/>
            <w:vMerge w:val="restart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 xml:space="preserve">□2、存在上下游关系的参与集中的经营者，在上下游市场所占的市场份额均小于25%。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cs="Arial" w:asciiTheme="majorEastAsia" w:hAnsiTheme="majorEastAsia" w:eastAsiaTheme="majorEastAsia"/>
                <w:sz w:val="24"/>
                <w:szCs w:val="24"/>
                <w:lang w:eastAsia="zh-CN"/>
              </w:rPr>
              <w:t>☑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cs="Arial" w:asciiTheme="majorEastAsia" w:hAnsiTheme="majorEastAsia" w:eastAsiaTheme="majorEastAsia"/>
                <w:sz w:val="24"/>
                <w:szCs w:val="24"/>
                <w:lang w:eastAsia="zh-CN"/>
              </w:rPr>
              <w:t>□</w:t>
            </w: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D9D9D9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sz w:val="24"/>
                <w:szCs w:val="24"/>
              </w:rPr>
              <w:t>备注</w:t>
            </w:r>
          </w:p>
        </w:tc>
        <w:tc>
          <w:tcPr>
            <w:tcW w:w="7045" w:type="dxa"/>
            <w:gridSpan w:val="2"/>
          </w:tcPr>
          <w:p>
            <w:pPr>
              <w:snapToGrid w:val="0"/>
              <w:rPr>
                <w:rFonts w:cs="Arial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cs="Arial" w:asciiTheme="majorEastAsia" w:hAnsiTheme="majorEastAsia" w:eastAsiaTheme="majorEastAsia"/>
                <w:sz w:val="24"/>
                <w:szCs w:val="24"/>
              </w:rPr>
              <w:t>不适用</w:t>
            </w:r>
          </w:p>
        </w:tc>
      </w:tr>
    </w:tbl>
    <w:p>
      <w:pPr>
        <w:ind w:firstLine="480" w:firstLineChars="200"/>
        <w:jc w:val="left"/>
        <w:rPr>
          <w:rFonts w:asciiTheme="majorEastAsia" w:hAnsiTheme="majorEastAsia" w:eastAsiaTheme="maj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1998"/>
    <w:rsid w:val="00015D5D"/>
    <w:rsid w:val="00020FE0"/>
    <w:rsid w:val="000300FE"/>
    <w:rsid w:val="000408F8"/>
    <w:rsid w:val="0004215E"/>
    <w:rsid w:val="000425BC"/>
    <w:rsid w:val="00042EB5"/>
    <w:rsid w:val="000452B1"/>
    <w:rsid w:val="000464C3"/>
    <w:rsid w:val="0005079C"/>
    <w:rsid w:val="00050979"/>
    <w:rsid w:val="00062F5A"/>
    <w:rsid w:val="000678E4"/>
    <w:rsid w:val="00072615"/>
    <w:rsid w:val="00074740"/>
    <w:rsid w:val="000904C0"/>
    <w:rsid w:val="00094095"/>
    <w:rsid w:val="00095A28"/>
    <w:rsid w:val="00095E1F"/>
    <w:rsid w:val="000C29C8"/>
    <w:rsid w:val="000C73F0"/>
    <w:rsid w:val="000D360A"/>
    <w:rsid w:val="00103183"/>
    <w:rsid w:val="00110162"/>
    <w:rsid w:val="00111CF1"/>
    <w:rsid w:val="0011751B"/>
    <w:rsid w:val="001446C5"/>
    <w:rsid w:val="001501A4"/>
    <w:rsid w:val="00150DF4"/>
    <w:rsid w:val="00152E38"/>
    <w:rsid w:val="00163F28"/>
    <w:rsid w:val="00165D39"/>
    <w:rsid w:val="0017134F"/>
    <w:rsid w:val="00176009"/>
    <w:rsid w:val="0018598F"/>
    <w:rsid w:val="001B2274"/>
    <w:rsid w:val="001B47CE"/>
    <w:rsid w:val="001B5324"/>
    <w:rsid w:val="001B608E"/>
    <w:rsid w:val="001C05BB"/>
    <w:rsid w:val="001D14E0"/>
    <w:rsid w:val="001D4460"/>
    <w:rsid w:val="001E5F02"/>
    <w:rsid w:val="001F1081"/>
    <w:rsid w:val="001F4C01"/>
    <w:rsid w:val="002012D4"/>
    <w:rsid w:val="002019AE"/>
    <w:rsid w:val="00204DCE"/>
    <w:rsid w:val="00205CD9"/>
    <w:rsid w:val="002064CB"/>
    <w:rsid w:val="002073C5"/>
    <w:rsid w:val="002151A9"/>
    <w:rsid w:val="00216BCC"/>
    <w:rsid w:val="002314F4"/>
    <w:rsid w:val="00244AB5"/>
    <w:rsid w:val="00245776"/>
    <w:rsid w:val="00245828"/>
    <w:rsid w:val="0026785E"/>
    <w:rsid w:val="00271360"/>
    <w:rsid w:val="00277B8F"/>
    <w:rsid w:val="00293473"/>
    <w:rsid w:val="00294CE9"/>
    <w:rsid w:val="002B018C"/>
    <w:rsid w:val="002B1A42"/>
    <w:rsid w:val="002B4BF6"/>
    <w:rsid w:val="002C4B3B"/>
    <w:rsid w:val="002C6003"/>
    <w:rsid w:val="002C6A77"/>
    <w:rsid w:val="002E16C2"/>
    <w:rsid w:val="002F0DD2"/>
    <w:rsid w:val="002F10AC"/>
    <w:rsid w:val="002F2D60"/>
    <w:rsid w:val="0030261C"/>
    <w:rsid w:val="00307976"/>
    <w:rsid w:val="00307FFB"/>
    <w:rsid w:val="003207A2"/>
    <w:rsid w:val="00322C3E"/>
    <w:rsid w:val="00352127"/>
    <w:rsid w:val="003530C9"/>
    <w:rsid w:val="00373F46"/>
    <w:rsid w:val="00374FCC"/>
    <w:rsid w:val="00393CD4"/>
    <w:rsid w:val="003B715D"/>
    <w:rsid w:val="003C27EC"/>
    <w:rsid w:val="003C3396"/>
    <w:rsid w:val="003C670D"/>
    <w:rsid w:val="003D1495"/>
    <w:rsid w:val="003D3569"/>
    <w:rsid w:val="003E5095"/>
    <w:rsid w:val="003F2010"/>
    <w:rsid w:val="003F3E81"/>
    <w:rsid w:val="003F6C94"/>
    <w:rsid w:val="00406E49"/>
    <w:rsid w:val="00423F2C"/>
    <w:rsid w:val="00425157"/>
    <w:rsid w:val="00440477"/>
    <w:rsid w:val="00452AFA"/>
    <w:rsid w:val="004556BD"/>
    <w:rsid w:val="00462174"/>
    <w:rsid w:val="004673F6"/>
    <w:rsid w:val="00474C4A"/>
    <w:rsid w:val="00495208"/>
    <w:rsid w:val="004B1363"/>
    <w:rsid w:val="004B343A"/>
    <w:rsid w:val="004B7818"/>
    <w:rsid w:val="004D1075"/>
    <w:rsid w:val="004D13DF"/>
    <w:rsid w:val="004D1D71"/>
    <w:rsid w:val="004D6686"/>
    <w:rsid w:val="004E26D8"/>
    <w:rsid w:val="004E33FB"/>
    <w:rsid w:val="004E7C67"/>
    <w:rsid w:val="004F3F7F"/>
    <w:rsid w:val="00505CE0"/>
    <w:rsid w:val="0051682C"/>
    <w:rsid w:val="00516846"/>
    <w:rsid w:val="00524A3F"/>
    <w:rsid w:val="00530BAB"/>
    <w:rsid w:val="00535CD6"/>
    <w:rsid w:val="005533F9"/>
    <w:rsid w:val="0056169A"/>
    <w:rsid w:val="005639E8"/>
    <w:rsid w:val="005901FF"/>
    <w:rsid w:val="005909A8"/>
    <w:rsid w:val="005A1138"/>
    <w:rsid w:val="005A493C"/>
    <w:rsid w:val="005A7CB9"/>
    <w:rsid w:val="005C34DB"/>
    <w:rsid w:val="005E0356"/>
    <w:rsid w:val="005E2902"/>
    <w:rsid w:val="005E3515"/>
    <w:rsid w:val="005F1530"/>
    <w:rsid w:val="005F167B"/>
    <w:rsid w:val="005F68D2"/>
    <w:rsid w:val="005F7B6E"/>
    <w:rsid w:val="0061018B"/>
    <w:rsid w:val="00612426"/>
    <w:rsid w:val="00614763"/>
    <w:rsid w:val="006155E2"/>
    <w:rsid w:val="0062049A"/>
    <w:rsid w:val="0063005D"/>
    <w:rsid w:val="00663102"/>
    <w:rsid w:val="00663F2D"/>
    <w:rsid w:val="0067305F"/>
    <w:rsid w:val="006803AB"/>
    <w:rsid w:val="0069648E"/>
    <w:rsid w:val="0069792C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7058C"/>
    <w:rsid w:val="00783E49"/>
    <w:rsid w:val="00790EEB"/>
    <w:rsid w:val="007916C9"/>
    <w:rsid w:val="00791DA5"/>
    <w:rsid w:val="00796180"/>
    <w:rsid w:val="007A384D"/>
    <w:rsid w:val="007A44AD"/>
    <w:rsid w:val="007C59DC"/>
    <w:rsid w:val="007E3869"/>
    <w:rsid w:val="007E41E8"/>
    <w:rsid w:val="007E4945"/>
    <w:rsid w:val="007E6C38"/>
    <w:rsid w:val="007F42DE"/>
    <w:rsid w:val="008040FB"/>
    <w:rsid w:val="00813A8D"/>
    <w:rsid w:val="00814649"/>
    <w:rsid w:val="00821820"/>
    <w:rsid w:val="008268B2"/>
    <w:rsid w:val="0083211E"/>
    <w:rsid w:val="008345D6"/>
    <w:rsid w:val="008409A8"/>
    <w:rsid w:val="00857EA2"/>
    <w:rsid w:val="00860058"/>
    <w:rsid w:val="00883EDC"/>
    <w:rsid w:val="008B5F77"/>
    <w:rsid w:val="008C32CA"/>
    <w:rsid w:val="008C5149"/>
    <w:rsid w:val="008D04E4"/>
    <w:rsid w:val="008E0C8C"/>
    <w:rsid w:val="008E244D"/>
    <w:rsid w:val="008E6014"/>
    <w:rsid w:val="008E6430"/>
    <w:rsid w:val="008E7D49"/>
    <w:rsid w:val="008F51A5"/>
    <w:rsid w:val="009016D2"/>
    <w:rsid w:val="009125DD"/>
    <w:rsid w:val="009368E8"/>
    <w:rsid w:val="00936A3F"/>
    <w:rsid w:val="00960F64"/>
    <w:rsid w:val="009648D4"/>
    <w:rsid w:val="00967F8A"/>
    <w:rsid w:val="009811A0"/>
    <w:rsid w:val="00992DA8"/>
    <w:rsid w:val="009B32C8"/>
    <w:rsid w:val="009C7BB6"/>
    <w:rsid w:val="009D3F28"/>
    <w:rsid w:val="009E402C"/>
    <w:rsid w:val="009E75BB"/>
    <w:rsid w:val="009F44EF"/>
    <w:rsid w:val="009F4A14"/>
    <w:rsid w:val="009F4E03"/>
    <w:rsid w:val="00A33BE2"/>
    <w:rsid w:val="00A3707A"/>
    <w:rsid w:val="00A56B2F"/>
    <w:rsid w:val="00A74B48"/>
    <w:rsid w:val="00A91442"/>
    <w:rsid w:val="00AA20C6"/>
    <w:rsid w:val="00AB4B37"/>
    <w:rsid w:val="00AC07D4"/>
    <w:rsid w:val="00AF7DF8"/>
    <w:rsid w:val="00B03F19"/>
    <w:rsid w:val="00B0563B"/>
    <w:rsid w:val="00B2685E"/>
    <w:rsid w:val="00B32B24"/>
    <w:rsid w:val="00B43CE8"/>
    <w:rsid w:val="00B4624D"/>
    <w:rsid w:val="00B5573F"/>
    <w:rsid w:val="00B626AC"/>
    <w:rsid w:val="00B66047"/>
    <w:rsid w:val="00B7773F"/>
    <w:rsid w:val="00B871A4"/>
    <w:rsid w:val="00BA0750"/>
    <w:rsid w:val="00BA76BC"/>
    <w:rsid w:val="00BB2377"/>
    <w:rsid w:val="00BB4B46"/>
    <w:rsid w:val="00BB6CE0"/>
    <w:rsid w:val="00BC7777"/>
    <w:rsid w:val="00BD3065"/>
    <w:rsid w:val="00BD4BF9"/>
    <w:rsid w:val="00BD57D8"/>
    <w:rsid w:val="00BF26B7"/>
    <w:rsid w:val="00C016B8"/>
    <w:rsid w:val="00C01CBC"/>
    <w:rsid w:val="00C15A90"/>
    <w:rsid w:val="00C16786"/>
    <w:rsid w:val="00C30003"/>
    <w:rsid w:val="00C31917"/>
    <w:rsid w:val="00C332E8"/>
    <w:rsid w:val="00C47370"/>
    <w:rsid w:val="00C56ED6"/>
    <w:rsid w:val="00C62476"/>
    <w:rsid w:val="00C6320F"/>
    <w:rsid w:val="00C64F27"/>
    <w:rsid w:val="00C7070C"/>
    <w:rsid w:val="00C82773"/>
    <w:rsid w:val="00C83199"/>
    <w:rsid w:val="00C847F8"/>
    <w:rsid w:val="00C9068E"/>
    <w:rsid w:val="00CB1B53"/>
    <w:rsid w:val="00CB51F5"/>
    <w:rsid w:val="00CE289F"/>
    <w:rsid w:val="00CF1C58"/>
    <w:rsid w:val="00CF5D48"/>
    <w:rsid w:val="00D0763D"/>
    <w:rsid w:val="00D21777"/>
    <w:rsid w:val="00D261F0"/>
    <w:rsid w:val="00D37E80"/>
    <w:rsid w:val="00D415B3"/>
    <w:rsid w:val="00D42034"/>
    <w:rsid w:val="00D52DFB"/>
    <w:rsid w:val="00D53CCB"/>
    <w:rsid w:val="00D563DE"/>
    <w:rsid w:val="00D568A7"/>
    <w:rsid w:val="00D62573"/>
    <w:rsid w:val="00D65F4E"/>
    <w:rsid w:val="00D858A2"/>
    <w:rsid w:val="00D91D33"/>
    <w:rsid w:val="00D92AA8"/>
    <w:rsid w:val="00D92C5A"/>
    <w:rsid w:val="00DD2EF5"/>
    <w:rsid w:val="00DE0034"/>
    <w:rsid w:val="00DF200E"/>
    <w:rsid w:val="00DF286D"/>
    <w:rsid w:val="00DF4049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A46B4"/>
    <w:rsid w:val="00EB79E4"/>
    <w:rsid w:val="00ED21B1"/>
    <w:rsid w:val="00ED611A"/>
    <w:rsid w:val="00EE3BB5"/>
    <w:rsid w:val="00EF609C"/>
    <w:rsid w:val="00F2672D"/>
    <w:rsid w:val="00F31570"/>
    <w:rsid w:val="00F33470"/>
    <w:rsid w:val="00F342A9"/>
    <w:rsid w:val="00F375CD"/>
    <w:rsid w:val="00F40985"/>
    <w:rsid w:val="00F53E17"/>
    <w:rsid w:val="00F648B5"/>
    <w:rsid w:val="00F7191A"/>
    <w:rsid w:val="00F72AC4"/>
    <w:rsid w:val="00F73FD5"/>
    <w:rsid w:val="00F77C5B"/>
    <w:rsid w:val="00F830E3"/>
    <w:rsid w:val="00F87C1F"/>
    <w:rsid w:val="00F902C8"/>
    <w:rsid w:val="00FA0F0E"/>
    <w:rsid w:val="00FA3724"/>
    <w:rsid w:val="00FB365B"/>
    <w:rsid w:val="00FC34C6"/>
    <w:rsid w:val="00FD115C"/>
    <w:rsid w:val="00FD23D9"/>
    <w:rsid w:val="00FE53CE"/>
    <w:rsid w:val="00FF523F"/>
    <w:rsid w:val="29D554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Endnote Text Char"/>
    <w:basedOn w:val="10"/>
    <w:link w:val="3"/>
    <w:semiHidden/>
    <w:qFormat/>
    <w:uiPriority w:val="99"/>
  </w:style>
  <w:style w:type="character" w:customStyle="1" w:styleId="14">
    <w:name w:val="Header Char"/>
    <w:link w:val="6"/>
    <w:qFormat/>
    <w:uiPriority w:val="99"/>
    <w:rPr>
      <w:sz w:val="18"/>
      <w:szCs w:val="18"/>
    </w:rPr>
  </w:style>
  <w:style w:type="character" w:customStyle="1" w:styleId="15">
    <w:name w:val="Footer Char"/>
    <w:link w:val="5"/>
    <w:qFormat/>
    <w:uiPriority w:val="99"/>
    <w:rPr>
      <w:sz w:val="18"/>
      <w:szCs w:val="18"/>
    </w:rPr>
  </w:style>
  <w:style w:type="character" w:customStyle="1" w:styleId="16">
    <w:name w:val="Balloon Text Char"/>
    <w:link w:val="4"/>
    <w:semiHidden/>
    <w:qFormat/>
    <w:uiPriority w:val="99"/>
    <w:rPr>
      <w:kern w:val="2"/>
      <w:sz w:val="18"/>
      <w:szCs w:val="18"/>
    </w:rPr>
  </w:style>
  <w:style w:type="character" w:customStyle="1" w:styleId="17">
    <w:name w:val="Comment Text Char"/>
    <w:basedOn w:val="10"/>
    <w:link w:val="2"/>
    <w:semiHidden/>
    <w:qFormat/>
    <w:uiPriority w:val="99"/>
    <w:rPr>
      <w:kern w:val="2"/>
      <w:sz w:val="21"/>
      <w:szCs w:val="22"/>
    </w:rPr>
  </w:style>
  <w:style w:type="character" w:customStyle="1" w:styleId="18">
    <w:name w:val="Comment Subject Char"/>
    <w:basedOn w:val="17"/>
    <w:link w:val="7"/>
    <w:semiHidden/>
    <w:qFormat/>
    <w:uiPriority w:val="99"/>
    <w:rPr>
      <w:b/>
      <w:bCs/>
      <w:kern w:val="2"/>
      <w:sz w:val="21"/>
      <w:szCs w:val="22"/>
    </w:rPr>
  </w:style>
  <w:style w:type="paragraph" w:customStyle="1" w:styleId="19">
    <w:name w:val="Block Text Blue"/>
    <w:basedOn w:val="1"/>
    <w:qFormat/>
    <w:uiPriority w:val="0"/>
    <w:pPr>
      <w:widowControl/>
      <w:spacing w:after="240"/>
    </w:pPr>
    <w:rPr>
      <w:rFonts w:ascii="Times New Roman" w:hAnsi="Times New Roman" w:eastAsiaTheme="minorEastAsia"/>
      <w:color w:val="0000FF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909918-2FFD-4C92-BE5C-91300EB80B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 &amp; Wood Mallesons</Company>
  <Pages>1</Pages>
  <Words>406</Words>
  <Characters>489</Characters>
  <Lines>34</Lines>
  <Paragraphs>25</Paragraphs>
  <TotalTime>2</TotalTime>
  <ScaleCrop>false</ScaleCrop>
  <LinksUpToDate>false</LinksUpToDate>
  <CharactersWithSpaces>870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2021-09-08T07:04:00Z</dcterms:created>
  <dc:creator>KWM</dc:creator>
  <cp:lastModifiedBy>万广亮</cp:lastModifiedBy>
  <cp:lastPrinted>2019-12-11T13:16:00Z</cp:lastPrinted>
  <dcterms:modified xsi:type="dcterms:W3CDTF">2021-09-16T11:25:47Z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DocumentLocation">
    <vt:lpwstr>C:\Users\sxliu\AppData\Local\Linklaters\DocExplorer\Attachments\210908_Project Monolith_Public Notice Form_Chinese.docx</vt:lpwstr>
  </property>
  <property fmtid="{D5CDD505-2E9C-101B-9397-08002B2CF9AE}" pid="3" name="Document Number">
    <vt:lpwstr>A45803092</vt:lpwstr>
  </property>
  <property fmtid="{D5CDD505-2E9C-101B-9397-08002B2CF9AE}" pid="4" name="Last Modified">
    <vt:lpwstr>10 Sep 2021</vt:lpwstr>
  </property>
  <property fmtid="{D5CDD505-2E9C-101B-9397-08002B2CF9AE}" pid="5" name="Mode">
    <vt:lpwstr>SendAs</vt:lpwstr>
  </property>
  <property fmtid="{D5CDD505-2E9C-101B-9397-08002B2CF9AE}" pid="6" name="Version">
    <vt:lpwstr>0.2</vt:lpwstr>
  </property>
  <property fmtid="{D5CDD505-2E9C-101B-9397-08002B2CF9AE}" pid="7" name="Client Code">
    <vt:lpwstr>10290463</vt:lpwstr>
  </property>
  <property fmtid="{D5CDD505-2E9C-101B-9397-08002B2CF9AE}" pid="8" name="Matter Number">
    <vt:lpwstr>L-314542</vt:lpwstr>
  </property>
  <property fmtid="{D5CDD505-2E9C-101B-9397-08002B2CF9AE}" pid="9" name="ObjectID">
    <vt:lpwstr>09001dc89620be41</vt:lpwstr>
  </property>
  <property fmtid="{D5CDD505-2E9C-101B-9397-08002B2CF9AE}" pid="10" name="_MarkAsFinal">
    <vt:bool>false</vt:bool>
  </property>
  <property fmtid="{D5CDD505-2E9C-101B-9397-08002B2CF9AE}" pid="11" name="KSOProductBuildVer">
    <vt:lpwstr>2052-11.8.2.10393</vt:lpwstr>
  </property>
</Properties>
</file>