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深圳顺丰泰森控股（集团）有限公司与深圳万茂投资有限公司新设合营企业案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1809" w:type="dxa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交易概况（限200字内）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widowControl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2021年8月20日，</w:t>
            </w:r>
            <w:r>
              <w:rPr>
                <w:rFonts w:hint="eastAsia" w:ascii="Times New Roman" w:hAnsi="Times New Roman"/>
              </w:rPr>
              <w:t>深圳</w:t>
            </w:r>
            <w:r>
              <w:rPr>
                <w:rFonts w:ascii="Times New Roman" w:hAnsi="Times New Roman"/>
              </w:rPr>
              <w:t>顺丰泰森</w:t>
            </w:r>
            <w:r>
              <w:rPr>
                <w:rFonts w:hint="eastAsia" w:ascii="Times New Roman" w:hAnsi="Times New Roman"/>
              </w:rPr>
              <w:t>控股（集团）有限公司（“</w:t>
            </w:r>
            <w:r>
              <w:rPr>
                <w:rFonts w:hint="eastAsia" w:ascii="Times New Roman" w:hAnsi="Times New Roman"/>
                <w:b/>
                <w:bCs/>
              </w:rPr>
              <w:t>顺丰泰森</w:t>
            </w:r>
            <w:r>
              <w:rPr>
                <w:rFonts w:hint="eastAsia" w:ascii="Times New Roman" w:hAnsi="Times New Roman"/>
              </w:rPr>
              <w:t>”）</w:t>
            </w:r>
            <w:r>
              <w:rPr>
                <w:rFonts w:ascii="Times New Roman" w:hAnsi="Times New Roman"/>
              </w:rPr>
              <w:t>通过其全资子公司珠海顺邦投资有限公司（“</w:t>
            </w:r>
            <w:r>
              <w:rPr>
                <w:rFonts w:ascii="Times New Roman" w:hAnsi="Times New Roman"/>
                <w:b/>
                <w:bCs/>
              </w:rPr>
              <w:t>珠海顺邦</w:t>
            </w:r>
            <w:r>
              <w:rPr>
                <w:rFonts w:ascii="Times New Roman" w:hAnsi="Times New Roman"/>
              </w:rPr>
              <w:t>”）与深圳万茂</w:t>
            </w:r>
            <w:r>
              <w:rPr>
                <w:rFonts w:hint="eastAsia" w:ascii="Times New Roman" w:hAnsi="Times New Roman"/>
              </w:rPr>
              <w:t>投资有限公司（“</w:t>
            </w:r>
            <w:r>
              <w:rPr>
                <w:rFonts w:hint="eastAsia" w:ascii="Times New Roman" w:hAnsi="Times New Roman"/>
                <w:b/>
                <w:bCs/>
              </w:rPr>
              <w:t>深圳万茂</w:t>
            </w:r>
            <w:r>
              <w:rPr>
                <w:rFonts w:hint="eastAsia" w:ascii="Times New Roman" w:hAnsi="Times New Roman"/>
              </w:rPr>
              <w:t>”）</w:t>
            </w:r>
            <w:r>
              <w:rPr>
                <w:rFonts w:ascii="Times New Roman" w:hAnsi="Times New Roman"/>
              </w:rPr>
              <w:t>签署《合作协议》，约定共同设立一家合营企业</w:t>
            </w:r>
            <w:r>
              <w:rPr>
                <w:rFonts w:hint="eastAsia" w:ascii="Times New Roman" w:hAnsi="Times New Roman"/>
              </w:rPr>
              <w:t>拟从事东莞市通用仓库的开发与租赁业务</w:t>
            </w:r>
            <w:r>
              <w:rPr>
                <w:rFonts w:ascii="Times New Roman" w:hAnsi="Times New Roman"/>
              </w:rPr>
              <w:t>（“</w:t>
            </w:r>
            <w:r>
              <w:rPr>
                <w:rFonts w:ascii="Times New Roman" w:hAnsi="Times New Roman"/>
                <w:b/>
                <w:bCs/>
              </w:rPr>
              <w:t>拟议交易</w:t>
            </w:r>
            <w:r>
              <w:rPr>
                <w:rFonts w:ascii="Times New Roman" w:hAnsi="Times New Roman"/>
              </w:rPr>
              <w:t>”）。拟议交易完成后，顺丰泰森（通过珠海顺邦）与深圳万茂将分别持有合营企业51%和49%的股权，并共同控制合营企业。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spacing w:after="156" w:afterLines="5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1. 顺丰泰森</w:t>
            </w:r>
          </w:p>
        </w:tc>
        <w:tc>
          <w:tcPr>
            <w:tcW w:w="5153" w:type="dxa"/>
            <w:shd w:val="clear" w:color="auto" w:fill="auto"/>
          </w:tcPr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顺丰泰森是深交所上市公司顺丰控股股份有限公司（与其关联实体合称“</w:t>
            </w:r>
            <w:r>
              <w:rPr>
                <w:rFonts w:hint="eastAsia" w:ascii="Times New Roman" w:hAnsi="Times New Roman"/>
                <w:b/>
                <w:szCs w:val="21"/>
              </w:rPr>
              <w:t>顺丰集团</w:t>
            </w:r>
            <w:r>
              <w:rPr>
                <w:rFonts w:hint="eastAsia" w:ascii="Times New Roman" w:hAnsi="Times New Roman"/>
                <w:szCs w:val="21"/>
              </w:rPr>
              <w:t>”）的全资子公司。</w:t>
            </w:r>
            <w:r>
              <w:rPr>
                <w:rFonts w:hint="eastAsia"/>
                <w:szCs w:val="21"/>
              </w:rPr>
              <w:t>顺丰泰森（及所在的顺丰集团）的主营业务为快递、快运、冷链物流及第三方物流服务。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spacing w:after="156" w:afterLines="5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2. 深圳万茂</w:t>
            </w:r>
          </w:p>
        </w:tc>
        <w:tc>
          <w:tcPr>
            <w:tcW w:w="5153" w:type="dxa"/>
            <w:shd w:val="clear" w:color="auto" w:fill="auto"/>
          </w:tcPr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深圳万茂是香港联交所上市公司绿城中国控股有限公司（与其关联实体合称“</w:t>
            </w:r>
            <w:r>
              <w:rPr>
                <w:rFonts w:hint="eastAsia" w:ascii="Times New Roman" w:hAnsi="Times New Roman"/>
                <w:b/>
                <w:bCs/>
                <w:szCs w:val="21"/>
              </w:rPr>
              <w:t>绿城集团</w:t>
            </w:r>
            <w:r>
              <w:rPr>
                <w:rFonts w:hint="eastAsia" w:ascii="Times New Roman" w:hAnsi="Times New Roman"/>
                <w:szCs w:val="21"/>
              </w:rPr>
              <w:t>”）的控股子公司。绿城集团是中国领先的优质房产品开发及生活综合服务供应商，主要从事房地产开发、房产代建、城市更新、物业服务、生活服务平台等业务。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Wingdings" w:hAnsi="Wingdings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809" w:type="dxa"/>
            <w:shd w:val="clear" w:color="auto" w:fill="D9D9D9"/>
          </w:tcPr>
          <w:p>
            <w:pPr>
              <w:spacing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pStyle w:val="20"/>
              <w:numPr>
                <w:ilvl w:val="0"/>
                <w:numId w:val="1"/>
              </w:numPr>
              <w:spacing w:after="156" w:afterLines="50"/>
              <w:ind w:left="348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东莞市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通用</w:t>
            </w:r>
            <w:bookmarkStart w:id="0" w:name="_GoBack"/>
            <w:bookmarkEnd w:id="0"/>
            <w:r>
              <w:rPr>
                <w:rFonts w:hint="eastAsia" w:ascii="Times New Roman" w:hAnsi="Times New Roman"/>
                <w:szCs w:val="21"/>
              </w:rPr>
              <w:t>仓库开发与租赁市场</w:t>
            </w:r>
          </w:p>
          <w:p>
            <w:pPr>
              <w:spacing w:after="156" w:afterLines="50"/>
              <w:ind w:left="36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020</w:t>
            </w:r>
            <w:r>
              <w:rPr>
                <w:rFonts w:hint="eastAsia" w:ascii="Times New Roman" w:hAnsi="Times New Roman"/>
                <w:szCs w:val="21"/>
              </w:rPr>
              <w:t>年合营企业的市场份额</w:t>
            </w:r>
            <w:r>
              <w:rPr>
                <w:rFonts w:hint="eastAsia" w:ascii="Times New Roman" w:hAnsi="Times New Roman"/>
              </w:rPr>
              <w:t>为【0-</w:t>
            </w:r>
            <w:r>
              <w:rPr>
                <w:rFonts w:ascii="Times New Roman" w:hAnsi="Times New Roman"/>
              </w:rPr>
              <w:t>5</w:t>
            </w:r>
            <w:r>
              <w:rPr>
                <w:rFonts w:hint="eastAsia" w:ascii="Times New Roman" w:hAnsi="Times New Roman"/>
              </w:rPr>
              <w:t>%】</w:t>
            </w:r>
          </w:p>
          <w:p>
            <w:pPr>
              <w:pStyle w:val="20"/>
              <w:numPr>
                <w:ilvl w:val="0"/>
                <w:numId w:val="1"/>
              </w:numPr>
              <w:spacing w:after="156" w:afterLines="50"/>
              <w:ind w:left="348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中国快递服务市场</w:t>
            </w:r>
          </w:p>
          <w:p>
            <w:pPr>
              <w:spacing w:after="156" w:afterLines="50"/>
              <w:ind w:left="36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020</w:t>
            </w:r>
            <w:r>
              <w:rPr>
                <w:rFonts w:hint="eastAsia" w:ascii="Times New Roman" w:hAnsi="Times New Roman"/>
              </w:rPr>
              <w:t>年顺丰泰森的市场份额为【10</w:t>
            </w:r>
            <w:r>
              <w:rPr>
                <w:rFonts w:ascii="Times New Roman" w:hAnsi="Times New Roman"/>
              </w:rPr>
              <w:t>-15%</w:t>
            </w:r>
            <w:r>
              <w:rPr>
                <w:rFonts w:hint="eastAsia" w:ascii="Times New Roman" w:hAnsi="Times New Roman"/>
              </w:rPr>
              <w:t>】</w:t>
            </w:r>
          </w:p>
          <w:p>
            <w:pPr>
              <w:pStyle w:val="20"/>
              <w:numPr>
                <w:ilvl w:val="0"/>
                <w:numId w:val="1"/>
              </w:numPr>
              <w:spacing w:after="156" w:afterLines="50"/>
              <w:ind w:left="348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中国快运服务市场</w:t>
            </w:r>
          </w:p>
          <w:p>
            <w:pPr>
              <w:spacing w:after="156" w:afterLines="50"/>
              <w:ind w:left="36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020</w:t>
            </w:r>
            <w:r>
              <w:rPr>
                <w:rFonts w:hint="eastAsia" w:ascii="Times New Roman" w:hAnsi="Times New Roman"/>
              </w:rPr>
              <w:t>年顺丰泰森的市场份额为【0</w:t>
            </w:r>
            <w:r>
              <w:rPr>
                <w:rFonts w:ascii="Times New Roman" w:hAnsi="Times New Roman"/>
              </w:rPr>
              <w:t>-5%</w:t>
            </w:r>
            <w:r>
              <w:rPr>
                <w:rFonts w:hint="eastAsia" w:ascii="Times New Roman" w:hAnsi="Times New Roman"/>
              </w:rPr>
              <w:t>】</w:t>
            </w:r>
          </w:p>
          <w:p>
            <w:pPr>
              <w:pStyle w:val="20"/>
              <w:numPr>
                <w:ilvl w:val="0"/>
                <w:numId w:val="1"/>
              </w:numPr>
              <w:spacing w:after="156" w:afterLines="50"/>
              <w:ind w:left="348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中国第三方物流服务市场</w:t>
            </w:r>
          </w:p>
          <w:p>
            <w:pPr>
              <w:spacing w:after="156" w:afterLines="50"/>
              <w:ind w:left="36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020</w:t>
            </w:r>
            <w:r>
              <w:rPr>
                <w:rFonts w:hint="eastAsia" w:ascii="Times New Roman" w:hAnsi="Times New Roman"/>
              </w:rPr>
              <w:t>年顺丰泰森的市场份额为【0</w:t>
            </w:r>
            <w:r>
              <w:rPr>
                <w:rFonts w:ascii="Times New Roman" w:hAnsi="Times New Roman"/>
              </w:rPr>
              <w:t>-5%</w:t>
            </w:r>
            <w:r>
              <w:rPr>
                <w:rFonts w:hint="eastAsia" w:ascii="Times New Roman" w:hAnsi="Times New Roman"/>
              </w:rPr>
              <w:t>】</w:t>
            </w:r>
          </w:p>
        </w:tc>
      </w:tr>
    </w:tbl>
    <w:p>
      <w:pPr>
        <w:rPr>
          <w:rFonts w:ascii="楷体_GB2312" w:hAnsi="Times New Roman" w:eastAsia="楷体_GB231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343BF9"/>
    <w:multiLevelType w:val="multilevel"/>
    <w:tmpl w:val="40343BF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750B"/>
    <w:rsid w:val="000216E6"/>
    <w:rsid w:val="00027835"/>
    <w:rsid w:val="000551BC"/>
    <w:rsid w:val="0005594E"/>
    <w:rsid w:val="00067565"/>
    <w:rsid w:val="00094095"/>
    <w:rsid w:val="000A3CA7"/>
    <w:rsid w:val="000A77A5"/>
    <w:rsid w:val="000B6A96"/>
    <w:rsid w:val="000D6356"/>
    <w:rsid w:val="000E7FC9"/>
    <w:rsid w:val="000F306A"/>
    <w:rsid w:val="000F3F86"/>
    <w:rsid w:val="000F6544"/>
    <w:rsid w:val="00100B60"/>
    <w:rsid w:val="00101176"/>
    <w:rsid w:val="00113543"/>
    <w:rsid w:val="00117B9E"/>
    <w:rsid w:val="00124597"/>
    <w:rsid w:val="0019247E"/>
    <w:rsid w:val="001A0880"/>
    <w:rsid w:val="001A37FC"/>
    <w:rsid w:val="001A6258"/>
    <w:rsid w:val="001B5F65"/>
    <w:rsid w:val="001C1B23"/>
    <w:rsid w:val="001C3AD5"/>
    <w:rsid w:val="0020313A"/>
    <w:rsid w:val="00210BC9"/>
    <w:rsid w:val="002128F6"/>
    <w:rsid w:val="002158DC"/>
    <w:rsid w:val="002213B3"/>
    <w:rsid w:val="002269DB"/>
    <w:rsid w:val="00245776"/>
    <w:rsid w:val="0025240B"/>
    <w:rsid w:val="002608F8"/>
    <w:rsid w:val="00262658"/>
    <w:rsid w:val="0027100D"/>
    <w:rsid w:val="00297506"/>
    <w:rsid w:val="002C338F"/>
    <w:rsid w:val="002D54A4"/>
    <w:rsid w:val="002E0740"/>
    <w:rsid w:val="002E1C1C"/>
    <w:rsid w:val="002E259C"/>
    <w:rsid w:val="002E2C9F"/>
    <w:rsid w:val="002E720A"/>
    <w:rsid w:val="002F2D60"/>
    <w:rsid w:val="002F3A72"/>
    <w:rsid w:val="002F724B"/>
    <w:rsid w:val="00305305"/>
    <w:rsid w:val="00306FB0"/>
    <w:rsid w:val="00307976"/>
    <w:rsid w:val="0031093F"/>
    <w:rsid w:val="00311210"/>
    <w:rsid w:val="003145BC"/>
    <w:rsid w:val="003170BD"/>
    <w:rsid w:val="00320D56"/>
    <w:rsid w:val="00324AD4"/>
    <w:rsid w:val="003340EB"/>
    <w:rsid w:val="00340ACD"/>
    <w:rsid w:val="00346D81"/>
    <w:rsid w:val="00350D45"/>
    <w:rsid w:val="0037036A"/>
    <w:rsid w:val="00371BC9"/>
    <w:rsid w:val="00384238"/>
    <w:rsid w:val="003A16B4"/>
    <w:rsid w:val="003B6581"/>
    <w:rsid w:val="003C0156"/>
    <w:rsid w:val="003C598D"/>
    <w:rsid w:val="003F170C"/>
    <w:rsid w:val="004030E1"/>
    <w:rsid w:val="00412D13"/>
    <w:rsid w:val="00420292"/>
    <w:rsid w:val="004261DB"/>
    <w:rsid w:val="004316EF"/>
    <w:rsid w:val="00436AF4"/>
    <w:rsid w:val="0044015B"/>
    <w:rsid w:val="00443A41"/>
    <w:rsid w:val="00445F6B"/>
    <w:rsid w:val="00452418"/>
    <w:rsid w:val="00462174"/>
    <w:rsid w:val="00477DDE"/>
    <w:rsid w:val="004A0F0A"/>
    <w:rsid w:val="004B7BC9"/>
    <w:rsid w:val="004E1994"/>
    <w:rsid w:val="004E27C5"/>
    <w:rsid w:val="004E39F4"/>
    <w:rsid w:val="004E5BA2"/>
    <w:rsid w:val="004F53A7"/>
    <w:rsid w:val="00515347"/>
    <w:rsid w:val="00557FA3"/>
    <w:rsid w:val="00566CC7"/>
    <w:rsid w:val="005674E8"/>
    <w:rsid w:val="005723FE"/>
    <w:rsid w:val="00585F58"/>
    <w:rsid w:val="005B44EF"/>
    <w:rsid w:val="005B533D"/>
    <w:rsid w:val="005B5DB2"/>
    <w:rsid w:val="005C0FBD"/>
    <w:rsid w:val="005C3D32"/>
    <w:rsid w:val="005D1B7F"/>
    <w:rsid w:val="005F167B"/>
    <w:rsid w:val="00625638"/>
    <w:rsid w:val="006300C0"/>
    <w:rsid w:val="0063752E"/>
    <w:rsid w:val="00647DC7"/>
    <w:rsid w:val="0065427D"/>
    <w:rsid w:val="00661E31"/>
    <w:rsid w:val="00667420"/>
    <w:rsid w:val="00675286"/>
    <w:rsid w:val="00683FCD"/>
    <w:rsid w:val="00687CD7"/>
    <w:rsid w:val="00692DA5"/>
    <w:rsid w:val="006A4F76"/>
    <w:rsid w:val="006A5728"/>
    <w:rsid w:val="006A67CA"/>
    <w:rsid w:val="006B49BF"/>
    <w:rsid w:val="006C4B90"/>
    <w:rsid w:val="006D2FC3"/>
    <w:rsid w:val="006D5A0F"/>
    <w:rsid w:val="006F39B1"/>
    <w:rsid w:val="006F55A3"/>
    <w:rsid w:val="006F6383"/>
    <w:rsid w:val="00720227"/>
    <w:rsid w:val="007354AD"/>
    <w:rsid w:val="00736746"/>
    <w:rsid w:val="007403B4"/>
    <w:rsid w:val="007411D0"/>
    <w:rsid w:val="00745DBE"/>
    <w:rsid w:val="0074694B"/>
    <w:rsid w:val="00751D95"/>
    <w:rsid w:val="00775B85"/>
    <w:rsid w:val="00787DD4"/>
    <w:rsid w:val="007A19CD"/>
    <w:rsid w:val="007C000E"/>
    <w:rsid w:val="007C654E"/>
    <w:rsid w:val="007C7803"/>
    <w:rsid w:val="007E1B1F"/>
    <w:rsid w:val="007F0687"/>
    <w:rsid w:val="007F5F08"/>
    <w:rsid w:val="008010AD"/>
    <w:rsid w:val="0080354C"/>
    <w:rsid w:val="0080386C"/>
    <w:rsid w:val="0080558F"/>
    <w:rsid w:val="00817EF1"/>
    <w:rsid w:val="00822970"/>
    <w:rsid w:val="00824915"/>
    <w:rsid w:val="0084303C"/>
    <w:rsid w:val="0085010B"/>
    <w:rsid w:val="00860BF2"/>
    <w:rsid w:val="008672BB"/>
    <w:rsid w:val="0088126D"/>
    <w:rsid w:val="00885D99"/>
    <w:rsid w:val="008926BD"/>
    <w:rsid w:val="0089745C"/>
    <w:rsid w:val="008A7ED7"/>
    <w:rsid w:val="008B22FB"/>
    <w:rsid w:val="008C7D59"/>
    <w:rsid w:val="008D267B"/>
    <w:rsid w:val="008F299A"/>
    <w:rsid w:val="008F634B"/>
    <w:rsid w:val="0093097F"/>
    <w:rsid w:val="00932119"/>
    <w:rsid w:val="00952499"/>
    <w:rsid w:val="0095347A"/>
    <w:rsid w:val="009540AF"/>
    <w:rsid w:val="009733B4"/>
    <w:rsid w:val="00974D61"/>
    <w:rsid w:val="009948B0"/>
    <w:rsid w:val="009A7BF2"/>
    <w:rsid w:val="009B45A7"/>
    <w:rsid w:val="009B576E"/>
    <w:rsid w:val="009C5ACB"/>
    <w:rsid w:val="009D6005"/>
    <w:rsid w:val="009E5752"/>
    <w:rsid w:val="009F1338"/>
    <w:rsid w:val="009F5448"/>
    <w:rsid w:val="009F7262"/>
    <w:rsid w:val="009F7FE9"/>
    <w:rsid w:val="00A2370A"/>
    <w:rsid w:val="00A40598"/>
    <w:rsid w:val="00A43A3E"/>
    <w:rsid w:val="00A62F9C"/>
    <w:rsid w:val="00A67610"/>
    <w:rsid w:val="00A76E06"/>
    <w:rsid w:val="00A77BD3"/>
    <w:rsid w:val="00A8032F"/>
    <w:rsid w:val="00AB40CB"/>
    <w:rsid w:val="00AD21B5"/>
    <w:rsid w:val="00AD3010"/>
    <w:rsid w:val="00AD650A"/>
    <w:rsid w:val="00AE4C10"/>
    <w:rsid w:val="00AE7A3B"/>
    <w:rsid w:val="00B01090"/>
    <w:rsid w:val="00B050A9"/>
    <w:rsid w:val="00B10A5E"/>
    <w:rsid w:val="00B12A4B"/>
    <w:rsid w:val="00B13FF6"/>
    <w:rsid w:val="00B16151"/>
    <w:rsid w:val="00B329DD"/>
    <w:rsid w:val="00B357DC"/>
    <w:rsid w:val="00B37A1D"/>
    <w:rsid w:val="00B40E62"/>
    <w:rsid w:val="00B41B52"/>
    <w:rsid w:val="00B54C38"/>
    <w:rsid w:val="00B64678"/>
    <w:rsid w:val="00B708EC"/>
    <w:rsid w:val="00B87F0D"/>
    <w:rsid w:val="00B93094"/>
    <w:rsid w:val="00B97BB6"/>
    <w:rsid w:val="00BA0750"/>
    <w:rsid w:val="00BA7437"/>
    <w:rsid w:val="00BB2377"/>
    <w:rsid w:val="00BB3798"/>
    <w:rsid w:val="00BD20A5"/>
    <w:rsid w:val="00BD3D34"/>
    <w:rsid w:val="00BD6EBE"/>
    <w:rsid w:val="00BE11DE"/>
    <w:rsid w:val="00BF0D84"/>
    <w:rsid w:val="00C06047"/>
    <w:rsid w:val="00C20F36"/>
    <w:rsid w:val="00C23832"/>
    <w:rsid w:val="00C318CE"/>
    <w:rsid w:val="00C32475"/>
    <w:rsid w:val="00C35929"/>
    <w:rsid w:val="00C52346"/>
    <w:rsid w:val="00C62172"/>
    <w:rsid w:val="00C716B2"/>
    <w:rsid w:val="00C76979"/>
    <w:rsid w:val="00C8184D"/>
    <w:rsid w:val="00C9068E"/>
    <w:rsid w:val="00C94351"/>
    <w:rsid w:val="00CB754F"/>
    <w:rsid w:val="00CD4254"/>
    <w:rsid w:val="00CE2A82"/>
    <w:rsid w:val="00CE4D36"/>
    <w:rsid w:val="00CF5443"/>
    <w:rsid w:val="00CF6946"/>
    <w:rsid w:val="00D001A9"/>
    <w:rsid w:val="00D15F88"/>
    <w:rsid w:val="00D21777"/>
    <w:rsid w:val="00D25335"/>
    <w:rsid w:val="00D34121"/>
    <w:rsid w:val="00D451A4"/>
    <w:rsid w:val="00D45C93"/>
    <w:rsid w:val="00D515E7"/>
    <w:rsid w:val="00D86949"/>
    <w:rsid w:val="00DA2017"/>
    <w:rsid w:val="00DA2830"/>
    <w:rsid w:val="00DB6E88"/>
    <w:rsid w:val="00DC70AB"/>
    <w:rsid w:val="00DE453F"/>
    <w:rsid w:val="00DF4BCE"/>
    <w:rsid w:val="00DF76C1"/>
    <w:rsid w:val="00DF78D8"/>
    <w:rsid w:val="00E11C0D"/>
    <w:rsid w:val="00E1771A"/>
    <w:rsid w:val="00E32A0C"/>
    <w:rsid w:val="00E7230B"/>
    <w:rsid w:val="00EA629A"/>
    <w:rsid w:val="00EA6C92"/>
    <w:rsid w:val="00EA738D"/>
    <w:rsid w:val="00EB0EE6"/>
    <w:rsid w:val="00ED21B1"/>
    <w:rsid w:val="00ED3AED"/>
    <w:rsid w:val="00ED5D85"/>
    <w:rsid w:val="00EE2784"/>
    <w:rsid w:val="00EE4AF0"/>
    <w:rsid w:val="00EE5DF0"/>
    <w:rsid w:val="00EF2222"/>
    <w:rsid w:val="00F14C9D"/>
    <w:rsid w:val="00F16269"/>
    <w:rsid w:val="00F42BAC"/>
    <w:rsid w:val="00F5086B"/>
    <w:rsid w:val="00F57936"/>
    <w:rsid w:val="00F87C1F"/>
    <w:rsid w:val="00F917BF"/>
    <w:rsid w:val="00FB05C5"/>
    <w:rsid w:val="00FD69F4"/>
    <w:rsid w:val="00FE0884"/>
    <w:rsid w:val="00FE1D22"/>
    <w:rsid w:val="00FE3C66"/>
    <w:rsid w:val="00FE4CAC"/>
    <w:rsid w:val="00FF2D6D"/>
    <w:rsid w:val="00FF5EDC"/>
    <w:rsid w:val="E95F902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qFormat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customStyle="1" w:styleId="15">
    <w:name w:val="尾注文本 字符"/>
    <w:basedOn w:val="11"/>
    <w:link w:val="3"/>
    <w:semiHidden/>
    <w:qFormat/>
    <w:uiPriority w:val="99"/>
  </w:style>
  <w:style w:type="character" w:customStyle="1" w:styleId="16">
    <w:name w:val="页眉 字符"/>
    <w:link w:val="6"/>
    <w:qFormat/>
    <w:uiPriority w:val="99"/>
    <w:rPr>
      <w:sz w:val="18"/>
      <w:szCs w:val="18"/>
    </w:rPr>
  </w:style>
  <w:style w:type="character" w:customStyle="1" w:styleId="17">
    <w:name w:val="页脚 字符"/>
    <w:link w:val="5"/>
    <w:qFormat/>
    <w:uiPriority w:val="99"/>
    <w:rPr>
      <w:sz w:val="18"/>
      <w:szCs w:val="18"/>
    </w:rPr>
  </w:style>
  <w:style w:type="character" w:customStyle="1" w:styleId="18">
    <w:name w:val="批注框文本 字符"/>
    <w:link w:val="4"/>
    <w:semiHidden/>
    <w:qFormat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字符"/>
    <w:link w:val="7"/>
    <w:semiHidden/>
    <w:qFormat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字符"/>
    <w:basedOn w:val="11"/>
    <w:link w:val="2"/>
    <w:semiHidden/>
    <w:qFormat/>
    <w:uiPriority w:val="99"/>
    <w:rPr>
      <w:kern w:val="2"/>
      <w:sz w:val="21"/>
      <w:szCs w:val="22"/>
    </w:rPr>
  </w:style>
  <w:style w:type="character" w:customStyle="1" w:styleId="23">
    <w:name w:val="批注主题 字符"/>
    <w:basedOn w:val="22"/>
    <w:link w:val="8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770</Characters>
  <Lines>6</Lines>
  <Paragraphs>1</Paragraphs>
  <TotalTime>0</TotalTime>
  <ScaleCrop>false</ScaleCrop>
  <LinksUpToDate>false</LinksUpToDate>
  <CharactersWithSpaces>904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2021-08-30T21:34:00Z</dcterms:created>
  <dc:creator>Dehenglaw</dc:creator>
  <cp:lastModifiedBy>greatwall</cp:lastModifiedBy>
  <cp:lastPrinted>2412-01-01T00:00:00Z</cp:lastPrinted>
  <dcterms:modified xsi:type="dcterms:W3CDTF">2021-09-07T17:20:45Z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