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 w:eastAsia="仿宋" w:cs="Times New Roman"/>
          <w:szCs w:val="21"/>
        </w:rPr>
      </w:pPr>
      <w:r>
        <w:rPr>
          <w:rFonts w:ascii="Times New Roman" w:hAnsi="Times New Roman" w:eastAsia="仿宋" w:cs="Times New Roman"/>
          <w:szCs w:val="21"/>
        </w:rPr>
        <w:t>经营者集中简易案件公示表</w:t>
      </w:r>
    </w:p>
    <w:p>
      <w:pPr>
        <w:spacing w:line="440" w:lineRule="exact"/>
        <w:rPr>
          <w:rFonts w:ascii="Times New Roman" w:hAnsi="Times New Roman" w:eastAsia="仿宋" w:cs="Times New Roman"/>
          <w:szCs w:val="21"/>
        </w:rPr>
      </w:pPr>
    </w:p>
    <w:tbl>
      <w:tblPr>
        <w:tblStyle w:val="5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ascii="Times New Roman" w:hAnsi="Times New Roman" w:eastAsia="仿宋" w:cs="Times New Roman"/>
                <w:szCs w:val="21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Cs w:val="21"/>
              </w:rPr>
              <w:t>上海绿地全球商品贸易港（集团）有限公司与Fortuna Foods Pte. Ltd.新设合营企业</w:t>
            </w:r>
            <w:r>
              <w:rPr>
                <w:rFonts w:ascii="Times New Roman" w:hAnsi="Times New Roman" w:eastAsia="仿宋" w:cs="Times New Roman"/>
                <w:kern w:val="0"/>
                <w:szCs w:val="21"/>
              </w:rPr>
              <w:t>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ascii="Times New Roman" w:hAnsi="Times New Roman" w:eastAsia="仿宋" w:cs="Times New Roman"/>
                <w:szCs w:val="21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>
            <w:pPr>
              <w:widowControl/>
              <w:snapToGrid w:val="0"/>
              <w:jc w:val="left"/>
              <w:rPr>
                <w:rFonts w:ascii="Times New Roman" w:hAnsi="Times New Roman" w:eastAsia="仿宋" w:cs="Times New Roman"/>
              </w:rPr>
            </w:pPr>
            <w:r>
              <w:rPr>
                <w:rFonts w:ascii="Times New Roman" w:hAnsi="Times New Roman" w:eastAsia="仿宋" w:cs="Times New Roman"/>
              </w:rPr>
              <w:t>本次交易涉及</w:t>
            </w:r>
            <w:r>
              <w:rPr>
                <w:rFonts w:hint="eastAsia" w:ascii="Times New Roman" w:hAnsi="Times New Roman" w:eastAsia="仿宋" w:cs="Times New Roman"/>
                <w:kern w:val="0"/>
                <w:szCs w:val="21"/>
              </w:rPr>
              <w:t>上海绿地全球商品贸易港（集团）有限公司（“</w:t>
            </w:r>
            <w:r>
              <w:rPr>
                <w:rFonts w:hint="eastAsia" w:ascii="Times New Roman" w:hAnsi="Times New Roman" w:eastAsia="仿宋" w:cs="Times New Roman"/>
                <w:b/>
              </w:rPr>
              <w:t>绿地商贸</w:t>
            </w:r>
            <w:r>
              <w:rPr>
                <w:rFonts w:hint="eastAsia" w:ascii="Times New Roman" w:hAnsi="Times New Roman" w:eastAsia="仿宋" w:cs="Times New Roman"/>
                <w:kern w:val="0"/>
                <w:szCs w:val="21"/>
              </w:rPr>
              <w:t>”）</w:t>
            </w:r>
            <w:r>
              <w:rPr>
                <w:rFonts w:hint="eastAsia" w:ascii="Times New Roman" w:hAnsi="Times New Roman" w:eastAsia="仿宋" w:cs="Times New Roman"/>
              </w:rPr>
              <w:t>及</w:t>
            </w:r>
            <w:r>
              <w:rPr>
                <w:rFonts w:hint="eastAsia" w:ascii="Times New Roman" w:hAnsi="Times New Roman" w:eastAsia="仿宋" w:cs="Times New Roman"/>
                <w:kern w:val="0"/>
                <w:szCs w:val="21"/>
              </w:rPr>
              <w:t>Fortuna Foods Pte. Ltd.（“</w:t>
            </w:r>
            <w:r>
              <w:rPr>
                <w:rFonts w:ascii="Times New Roman" w:hAnsi="Times New Roman" w:eastAsia="仿宋" w:cs="Times New Roman"/>
                <w:b/>
              </w:rPr>
              <w:t>Fortuna</w:t>
            </w:r>
            <w:r>
              <w:rPr>
                <w:rFonts w:hint="eastAsia" w:ascii="Times New Roman" w:hAnsi="Times New Roman" w:eastAsia="仿宋" w:cs="Times New Roman"/>
                <w:kern w:val="0"/>
                <w:szCs w:val="21"/>
              </w:rPr>
              <w:t>”）</w:t>
            </w:r>
            <w:r>
              <w:rPr>
                <w:rFonts w:hint="eastAsia" w:ascii="Times New Roman" w:hAnsi="Times New Roman" w:eastAsia="仿宋" w:cs="Times New Roman"/>
              </w:rPr>
              <w:t>新设合营企业海南绿地美利华</w:t>
            </w:r>
            <w:r>
              <w:rPr>
                <w:rFonts w:ascii="Times New Roman" w:hAnsi="Times New Roman" w:eastAsia="仿宋" w:cs="Times New Roman"/>
              </w:rPr>
              <w:t>食品</w:t>
            </w:r>
            <w:r>
              <w:rPr>
                <w:rFonts w:hint="eastAsia" w:ascii="Times New Roman" w:hAnsi="Times New Roman" w:eastAsia="仿宋" w:cs="Times New Roman"/>
              </w:rPr>
              <w:t>贸</w:t>
            </w:r>
            <w:r>
              <w:rPr>
                <w:rFonts w:ascii="Times New Roman" w:hAnsi="Times New Roman" w:eastAsia="仿宋" w:cs="Times New Roman"/>
              </w:rPr>
              <w:t>易有限公司</w:t>
            </w:r>
            <w:r>
              <w:rPr>
                <w:rFonts w:hint="eastAsia" w:ascii="Times New Roman" w:hAnsi="Times New Roman" w:eastAsia="仿宋" w:cs="Times New Roman"/>
              </w:rPr>
              <w:t>（“</w:t>
            </w:r>
            <w:r>
              <w:rPr>
                <w:rFonts w:hint="eastAsia" w:ascii="Times New Roman" w:hAnsi="Times New Roman" w:eastAsia="仿宋" w:cs="Times New Roman"/>
                <w:b/>
              </w:rPr>
              <w:t>合营企业</w:t>
            </w:r>
            <w:r>
              <w:rPr>
                <w:rFonts w:hint="eastAsia" w:ascii="Times New Roman" w:hAnsi="Times New Roman" w:eastAsia="仿宋" w:cs="Times New Roman"/>
              </w:rPr>
              <w:t>”）。本次交易后，绿地商贸及</w:t>
            </w:r>
            <w:r>
              <w:rPr>
                <w:rFonts w:ascii="Times New Roman" w:hAnsi="Times New Roman" w:eastAsia="仿宋" w:cs="Times New Roman"/>
              </w:rPr>
              <w:t>Fortuna</w:t>
            </w:r>
            <w:r>
              <w:rPr>
                <w:rFonts w:hint="eastAsia" w:ascii="Times New Roman" w:hAnsi="Times New Roman" w:eastAsia="仿宋" w:cs="Times New Roman"/>
              </w:rPr>
              <w:t>将分别持有合营企业51%和49%的股权。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ascii="Times New Roman" w:hAnsi="Times New Roman" w:eastAsia="仿宋" w:cs="Times New Roman"/>
                <w:szCs w:val="21"/>
              </w:rPr>
              <w:t>参与集中的经营者简介</w:t>
            </w:r>
          </w:p>
        </w:tc>
        <w:tc>
          <w:tcPr>
            <w:tcW w:w="1796" w:type="dxa"/>
          </w:tcPr>
          <w:p>
            <w:pPr>
              <w:pStyle w:val="8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szCs w:val="21"/>
              </w:rPr>
              <w:t>绿地商贸</w:t>
            </w:r>
          </w:p>
          <w:p>
            <w:pPr>
              <w:rPr>
                <w:rFonts w:ascii="Times New Roman" w:hAnsi="Times New Roman" w:eastAsia="仿宋" w:cs="Times New Roman"/>
                <w:szCs w:val="21"/>
              </w:rPr>
            </w:pPr>
          </w:p>
        </w:tc>
        <w:tc>
          <w:tcPr>
            <w:tcW w:w="5153" w:type="dxa"/>
          </w:tcPr>
          <w:p>
            <w:pPr>
              <w:widowControl/>
              <w:snapToGrid w:val="0"/>
              <w:jc w:val="left"/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szCs w:val="21"/>
              </w:rPr>
              <w:t>绿地商贸成立于2018年8月29日，是绿地控股集团股份有限公司及其关联实体（“</w:t>
            </w:r>
            <w:r>
              <w:rPr>
                <w:rFonts w:hint="eastAsia" w:ascii="Times New Roman" w:hAnsi="Times New Roman" w:eastAsia="仿宋" w:cs="Times New Roman"/>
                <w:b/>
                <w:szCs w:val="21"/>
              </w:rPr>
              <w:t>绿地集团</w:t>
            </w:r>
            <w:r>
              <w:rPr>
                <w:rFonts w:hint="eastAsia" w:ascii="Times New Roman" w:hAnsi="Times New Roman" w:eastAsia="仿宋" w:cs="Times New Roman"/>
                <w:szCs w:val="21"/>
              </w:rPr>
              <w:t>”）旗下的核心成员企业。绿地商贸的主要业务之一是从国外进口肉食、水产、水果、粮油等产品并在中国境内销售。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</w:p>
        </w:tc>
        <w:tc>
          <w:tcPr>
            <w:tcW w:w="1796" w:type="dxa"/>
          </w:tcPr>
          <w:p>
            <w:pPr>
              <w:pStyle w:val="8"/>
              <w:numPr>
                <w:ilvl w:val="0"/>
                <w:numId w:val="1"/>
              </w:numPr>
              <w:ind w:firstLineChars="0"/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</w:rPr>
              <w:t>For</w:t>
            </w:r>
            <w:r>
              <w:rPr>
                <w:rFonts w:ascii="Times New Roman" w:hAnsi="Times New Roman" w:eastAsia="仿宋" w:cs="Times New Roman"/>
              </w:rPr>
              <w:t>tuna</w:t>
            </w:r>
          </w:p>
        </w:tc>
        <w:tc>
          <w:tcPr>
            <w:tcW w:w="5153" w:type="dxa"/>
          </w:tcPr>
          <w:p>
            <w:pPr>
              <w:widowControl/>
              <w:snapToGrid w:val="0"/>
              <w:jc w:val="left"/>
              <w:rPr>
                <w:rFonts w:ascii="Times New Roman" w:hAnsi="Times New Roman" w:eastAsia="仿宋" w:cs="Times New Roman"/>
              </w:rPr>
            </w:pPr>
            <w:r>
              <w:rPr>
                <w:rFonts w:hint="eastAsia" w:ascii="Times New Roman" w:hAnsi="Times New Roman" w:eastAsia="仿宋" w:cs="Times New Roman"/>
              </w:rPr>
              <w:t>Fortuna成立于2020年2月14日，由Minerva S.A.（“</w:t>
            </w:r>
            <w:r>
              <w:rPr>
                <w:rFonts w:hint="eastAsia" w:ascii="Times New Roman" w:hAnsi="Times New Roman" w:eastAsia="仿宋" w:cs="Times New Roman"/>
                <w:b/>
              </w:rPr>
              <w:t>美利华</w:t>
            </w:r>
            <w:r>
              <w:rPr>
                <w:rFonts w:hint="eastAsia" w:ascii="Times New Roman" w:hAnsi="Times New Roman" w:eastAsia="仿宋" w:cs="Times New Roman"/>
              </w:rPr>
              <w:t>”）全资持有及控制。Fortuna所属集团美利华的主营业务为牛肉的生产及供应，包括屠宰活牛，加工、生产并销售美利华的牛肉。美利华向中国境内出口和销售冷鲜牛肉和冷冻牛肉。美利华在中国境内不从事活牛养殖、屠宰或牛肉加工的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ascii="Times New Roman" w:hAnsi="Times New Roman" w:eastAsia="仿宋" w:cs="Times New Roman"/>
                <w:szCs w:val="2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ascii="Times New Roman" w:hAnsi="Times New Roman" w:eastAsia="仿宋" w:cs="Times New Roman"/>
                <w:szCs w:val="21"/>
              </w:rPr>
              <w:sym w:font="Wingdings" w:char="F0FE"/>
            </w:r>
            <w:r>
              <w:rPr>
                <w:rFonts w:ascii="Times New Roman" w:hAnsi="Times New Roman" w:eastAsia="仿宋" w:cs="Times New Roman"/>
                <w:szCs w:val="21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ascii="Times New Roman" w:hAnsi="Times New Roman" w:eastAsia="仿宋" w:cs="Times New Roman"/>
                <w:szCs w:val="21"/>
              </w:rPr>
              <w:sym w:font="Wingdings" w:char="00A8"/>
            </w:r>
            <w:r>
              <w:rPr>
                <w:rFonts w:ascii="Times New Roman" w:hAnsi="Times New Roman" w:eastAsia="仿宋" w:cs="Times New Roman"/>
                <w:szCs w:val="21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ascii="Times New Roman" w:hAnsi="Times New Roman" w:eastAsia="仿宋" w:cs="Times New Roman"/>
                <w:szCs w:val="21"/>
              </w:rPr>
              <w:sym w:font="Wingdings 2" w:char="00A3"/>
            </w:r>
            <w:r>
              <w:rPr>
                <w:rFonts w:ascii="Times New Roman" w:hAnsi="Times New Roman" w:eastAsia="仿宋" w:cs="Times New Roman"/>
                <w:szCs w:val="21"/>
              </w:rPr>
              <w:t>3、不在同一相关市场、也不存在</w:t>
            </w:r>
            <w:bookmarkStart w:id="0" w:name="_GoBack"/>
            <w:bookmarkEnd w:id="0"/>
            <w:r>
              <w:rPr>
                <w:rFonts w:ascii="Times New Roman" w:hAnsi="Times New Roman" w:eastAsia="仿宋" w:cs="Times New Roman"/>
                <w:szCs w:val="21"/>
              </w:rPr>
              <w:t>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ascii="Times New Roman" w:hAnsi="Times New Roman" w:eastAsia="仿宋" w:cs="Times New Roman"/>
                <w:szCs w:val="21"/>
              </w:rPr>
              <w:t>□4、参与集中的经营者在中国境外设立合营企业，合营企业不在中国境内从事经济活动。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ascii="Times New Roman" w:hAnsi="Times New Roman" w:eastAsia="仿宋" w:cs="Times New Roman"/>
                <w:szCs w:val="21"/>
              </w:rPr>
              <w:t>□5、参与集中的经营者收购境外企业股权或资产的，该境外企业不在中国境内从事经济活动。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ascii="Times New Roman" w:hAnsi="Times New Roman" w:eastAsia="仿宋" w:cs="Times New Roman"/>
                <w:szCs w:val="21"/>
              </w:rPr>
              <w:t>□6、由两个以上的经营者共同控制的合营企业，通过集中被其中一个或一个以上经营者控制。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ascii="Times New Roman" w:hAnsi="Times New Roman" w:eastAsia="仿宋" w:cs="Times New Roman"/>
                <w:szCs w:val="21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szCs w:val="21"/>
              </w:rPr>
              <w:t>相关产品市场：冷冻牛肉市场</w:t>
            </w:r>
          </w:p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szCs w:val="21"/>
              </w:rPr>
              <w:t>相关地域市场：中国</w:t>
            </w:r>
          </w:p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szCs w:val="21"/>
              </w:rPr>
              <w:t>市场份额：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39"/>
              <w:gridCol w:w="223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39" w:type="dxa"/>
                  <w:vAlign w:val="center"/>
                </w:tcPr>
                <w:p>
                  <w:pPr>
                    <w:rPr>
                      <w:rFonts w:ascii="Times New Roman" w:hAnsi="Times New Roman" w:eastAsia="仿宋" w:cs="Times New Roman"/>
                      <w:szCs w:val="21"/>
                    </w:rPr>
                  </w:pPr>
                </w:p>
              </w:tc>
              <w:tc>
                <w:tcPr>
                  <w:tcW w:w="2239" w:type="dxa"/>
                  <w:vAlign w:val="center"/>
                </w:tcPr>
                <w:p>
                  <w:pPr>
                    <w:rPr>
                      <w:rFonts w:ascii="Times New Roman" w:hAnsi="Times New Roman" w:eastAsia="仿宋" w:cs="Times New Roman"/>
                      <w:szCs w:val="21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szCs w:val="21"/>
                    </w:rPr>
                    <w:t>以销售额计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39" w:type="dxa"/>
                  <w:vAlign w:val="center"/>
                </w:tcPr>
                <w:p>
                  <w:pPr>
                    <w:rPr>
                      <w:rFonts w:ascii="Times New Roman" w:hAnsi="Times New Roman" w:eastAsia="仿宋" w:cs="Times New Roman"/>
                      <w:szCs w:val="21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szCs w:val="21"/>
                    </w:rPr>
                    <w:t>美利华</w:t>
                  </w:r>
                </w:p>
              </w:tc>
              <w:tc>
                <w:tcPr>
                  <w:tcW w:w="2239" w:type="dxa"/>
                  <w:vAlign w:val="center"/>
                </w:tcPr>
                <w:p>
                  <w:pPr>
                    <w:rPr>
                      <w:rFonts w:ascii="Times New Roman" w:hAnsi="Times New Roman" w:eastAsia="仿宋" w:cs="Times New Roman"/>
                      <w:szCs w:val="21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szCs w:val="21"/>
                    </w:rPr>
                    <w:t>[</w:t>
                  </w:r>
                  <w:r>
                    <w:rPr>
                      <w:rFonts w:ascii="Times New Roman" w:hAnsi="Times New Roman" w:eastAsia="仿宋" w:cs="Times New Roman"/>
                      <w:szCs w:val="21"/>
                    </w:rPr>
                    <w:t>0-5]%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39" w:type="dxa"/>
                  <w:vAlign w:val="center"/>
                </w:tcPr>
                <w:p>
                  <w:pPr>
                    <w:rPr>
                      <w:rFonts w:ascii="Times New Roman" w:hAnsi="Times New Roman" w:eastAsia="仿宋" w:cs="Times New Roman"/>
                      <w:szCs w:val="21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kern w:val="0"/>
                      <w:szCs w:val="21"/>
                    </w:rPr>
                    <w:t>绿地商贸</w:t>
                  </w:r>
                </w:p>
              </w:tc>
              <w:tc>
                <w:tcPr>
                  <w:tcW w:w="2239" w:type="dxa"/>
                  <w:vAlign w:val="center"/>
                </w:tcPr>
                <w:p>
                  <w:pPr>
                    <w:rPr>
                      <w:rFonts w:ascii="Times New Roman" w:hAnsi="Times New Roman" w:eastAsia="仿宋" w:cs="Times New Roman"/>
                      <w:szCs w:val="21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szCs w:val="21"/>
                    </w:rPr>
                    <w:t>[</w:t>
                  </w:r>
                  <w:r>
                    <w:rPr>
                      <w:rFonts w:ascii="Times New Roman" w:hAnsi="Times New Roman" w:eastAsia="仿宋" w:cs="Times New Roman"/>
                      <w:szCs w:val="21"/>
                    </w:rPr>
                    <w:t>0-5]%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c>
                <w:tcPr>
                  <w:tcW w:w="2239" w:type="dxa"/>
                  <w:vAlign w:val="center"/>
                </w:tcPr>
                <w:p>
                  <w:pPr>
                    <w:rPr>
                      <w:rFonts w:ascii="Times New Roman" w:hAnsi="Times New Roman" w:eastAsia="仿宋" w:cs="Times New Roman"/>
                      <w:szCs w:val="21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szCs w:val="21"/>
                    </w:rPr>
                    <w:t>合计</w:t>
                  </w:r>
                </w:p>
              </w:tc>
              <w:tc>
                <w:tcPr>
                  <w:tcW w:w="2239" w:type="dxa"/>
                  <w:vAlign w:val="center"/>
                </w:tcPr>
                <w:p>
                  <w:pPr>
                    <w:rPr>
                      <w:rFonts w:ascii="Times New Roman" w:hAnsi="Times New Roman" w:eastAsia="仿宋" w:cs="Times New Roman"/>
                      <w:szCs w:val="21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szCs w:val="21"/>
                    </w:rPr>
                    <w:t>[</w:t>
                  </w:r>
                  <w:r>
                    <w:rPr>
                      <w:rFonts w:ascii="Times New Roman" w:hAnsi="Times New Roman" w:eastAsia="仿宋" w:cs="Times New Roman"/>
                      <w:szCs w:val="21"/>
                    </w:rPr>
                    <w:t>5-10]%</w:t>
                  </w:r>
                </w:p>
              </w:tc>
            </w:tr>
          </w:tbl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szCs w:val="21"/>
              </w:rPr>
              <w:t>相关产品市场：冷鲜牛肉市场</w:t>
            </w:r>
          </w:p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szCs w:val="21"/>
              </w:rPr>
              <w:t>相关地域市场：中国</w:t>
            </w:r>
          </w:p>
          <w:p>
            <w:pPr>
              <w:rPr>
                <w:rFonts w:ascii="Times New Roman" w:hAnsi="Times New Roman" w:eastAsia="仿宋" w:cs="Times New Roman"/>
                <w:szCs w:val="21"/>
              </w:rPr>
            </w:pPr>
            <w:r>
              <w:rPr>
                <w:rFonts w:hint="eastAsia" w:ascii="Times New Roman" w:hAnsi="Times New Roman" w:eastAsia="仿宋" w:cs="Times New Roman"/>
                <w:szCs w:val="21"/>
              </w:rPr>
              <w:t>市场份额：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39"/>
              <w:gridCol w:w="2239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39" w:type="dxa"/>
                  <w:vAlign w:val="center"/>
                </w:tcPr>
                <w:p>
                  <w:pPr>
                    <w:rPr>
                      <w:rFonts w:ascii="Times New Roman" w:hAnsi="Times New Roman" w:eastAsia="仿宋" w:cs="Times New Roman"/>
                      <w:szCs w:val="21"/>
                    </w:rPr>
                  </w:pPr>
                </w:p>
              </w:tc>
              <w:tc>
                <w:tcPr>
                  <w:tcW w:w="2239" w:type="dxa"/>
                  <w:vAlign w:val="center"/>
                </w:tcPr>
                <w:p>
                  <w:pPr>
                    <w:rPr>
                      <w:rFonts w:ascii="Times New Roman" w:hAnsi="Times New Roman" w:eastAsia="仿宋" w:cs="Times New Roman"/>
                      <w:szCs w:val="21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szCs w:val="21"/>
                    </w:rPr>
                    <w:t>以销售额计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39" w:type="dxa"/>
                  <w:vAlign w:val="center"/>
                </w:tcPr>
                <w:p>
                  <w:pPr>
                    <w:rPr>
                      <w:rFonts w:ascii="Times New Roman" w:hAnsi="Times New Roman" w:eastAsia="仿宋" w:cs="Times New Roman"/>
                      <w:szCs w:val="21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szCs w:val="21"/>
                    </w:rPr>
                    <w:t>美利华</w:t>
                  </w:r>
                </w:p>
              </w:tc>
              <w:tc>
                <w:tcPr>
                  <w:tcW w:w="2239" w:type="dxa"/>
                  <w:vAlign w:val="center"/>
                </w:tcPr>
                <w:p>
                  <w:pPr>
                    <w:rPr>
                      <w:rFonts w:ascii="Times New Roman" w:hAnsi="Times New Roman" w:eastAsia="仿宋" w:cs="Times New Roman"/>
                      <w:szCs w:val="21"/>
                    </w:rPr>
                  </w:pPr>
                  <w:r>
                    <w:rPr>
                      <w:rFonts w:hint="eastAsia" w:ascii="Times New Roman" w:hAnsi="Times New Roman" w:eastAsia="仿宋" w:cs="Times New Roman"/>
                      <w:szCs w:val="21"/>
                    </w:rPr>
                    <w:t>[</w:t>
                  </w:r>
                  <w:r>
                    <w:rPr>
                      <w:rFonts w:ascii="Times New Roman" w:hAnsi="Times New Roman" w:eastAsia="仿宋" w:cs="Times New Roman"/>
                      <w:szCs w:val="21"/>
                    </w:rPr>
                    <w:t>0-5]%</w:t>
                  </w:r>
                </w:p>
              </w:tc>
            </w:tr>
          </w:tbl>
          <w:p>
            <w:pPr>
              <w:rPr>
                <w:rFonts w:ascii="Times New Roman" w:hAnsi="Times New Roman" w:eastAsia="仿宋" w:cs="Times New Roman"/>
                <w:szCs w:val="21"/>
              </w:rPr>
            </w:pPr>
          </w:p>
        </w:tc>
      </w:tr>
    </w:tbl>
    <w:p/>
    <w:p>
      <w:pPr>
        <w:rPr>
          <w:rFonts w:ascii="Times New Roman" w:hAnsi="Times New Roman" w:eastAsia="仿宋" w:cs="Times New Roman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650DCC"/>
    <w:multiLevelType w:val="multilevel"/>
    <w:tmpl w:val="53650DCC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true"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6E6"/>
    <w:rsid w:val="00004EBA"/>
    <w:rsid w:val="000541E1"/>
    <w:rsid w:val="00065017"/>
    <w:rsid w:val="00070771"/>
    <w:rsid w:val="000738E8"/>
    <w:rsid w:val="000A3705"/>
    <w:rsid w:val="001750AD"/>
    <w:rsid w:val="0018329B"/>
    <w:rsid w:val="001A55D4"/>
    <w:rsid w:val="001A55E0"/>
    <w:rsid w:val="001C1DD2"/>
    <w:rsid w:val="001C4BE7"/>
    <w:rsid w:val="001F6C72"/>
    <w:rsid w:val="00207331"/>
    <w:rsid w:val="002210CE"/>
    <w:rsid w:val="00242372"/>
    <w:rsid w:val="00255658"/>
    <w:rsid w:val="00271168"/>
    <w:rsid w:val="00297D10"/>
    <w:rsid w:val="00341E42"/>
    <w:rsid w:val="003636A1"/>
    <w:rsid w:val="003737C9"/>
    <w:rsid w:val="00396D23"/>
    <w:rsid w:val="003C69E4"/>
    <w:rsid w:val="003E7104"/>
    <w:rsid w:val="003F211F"/>
    <w:rsid w:val="003F7EF9"/>
    <w:rsid w:val="0041414E"/>
    <w:rsid w:val="0043644F"/>
    <w:rsid w:val="0044530F"/>
    <w:rsid w:val="004866A4"/>
    <w:rsid w:val="004B2911"/>
    <w:rsid w:val="004C3310"/>
    <w:rsid w:val="004D5C2F"/>
    <w:rsid w:val="004D6001"/>
    <w:rsid w:val="00544135"/>
    <w:rsid w:val="005C1BEF"/>
    <w:rsid w:val="005E1A37"/>
    <w:rsid w:val="00635CCF"/>
    <w:rsid w:val="00643CEA"/>
    <w:rsid w:val="006A7223"/>
    <w:rsid w:val="006B303A"/>
    <w:rsid w:val="006D31A3"/>
    <w:rsid w:val="00706B4F"/>
    <w:rsid w:val="00720206"/>
    <w:rsid w:val="00721EAD"/>
    <w:rsid w:val="00770F30"/>
    <w:rsid w:val="00793803"/>
    <w:rsid w:val="007E11F6"/>
    <w:rsid w:val="00867EAB"/>
    <w:rsid w:val="008918C7"/>
    <w:rsid w:val="008B2076"/>
    <w:rsid w:val="00961661"/>
    <w:rsid w:val="009737C7"/>
    <w:rsid w:val="009A789E"/>
    <w:rsid w:val="009F76E6"/>
    <w:rsid w:val="00A23E59"/>
    <w:rsid w:val="00AA622E"/>
    <w:rsid w:val="00AE0CE4"/>
    <w:rsid w:val="00AE13B9"/>
    <w:rsid w:val="00AE25D4"/>
    <w:rsid w:val="00AE2D16"/>
    <w:rsid w:val="00B0269D"/>
    <w:rsid w:val="00B549DE"/>
    <w:rsid w:val="00B9504A"/>
    <w:rsid w:val="00BA2A0F"/>
    <w:rsid w:val="00BC172E"/>
    <w:rsid w:val="00C10406"/>
    <w:rsid w:val="00C40206"/>
    <w:rsid w:val="00C4445F"/>
    <w:rsid w:val="00C673ED"/>
    <w:rsid w:val="00C67586"/>
    <w:rsid w:val="00CD2B83"/>
    <w:rsid w:val="00CE2AD9"/>
    <w:rsid w:val="00CE41B2"/>
    <w:rsid w:val="00D07E1D"/>
    <w:rsid w:val="00D47D7A"/>
    <w:rsid w:val="00D52329"/>
    <w:rsid w:val="00D64EC3"/>
    <w:rsid w:val="00DC05F1"/>
    <w:rsid w:val="00DD5DDA"/>
    <w:rsid w:val="00DF347E"/>
    <w:rsid w:val="00E30A61"/>
    <w:rsid w:val="00E346A4"/>
    <w:rsid w:val="00E423A2"/>
    <w:rsid w:val="00E53962"/>
    <w:rsid w:val="00F25CFA"/>
    <w:rsid w:val="00F5276B"/>
    <w:rsid w:val="00F71986"/>
    <w:rsid w:val="00FA46F6"/>
    <w:rsid w:val="00FD63AB"/>
    <w:rsid w:val="00FD726D"/>
    <w:rsid w:val="F7D07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99"/>
    <w:pPr>
      <w:ind w:firstLine="420" w:firstLineChars="200"/>
    </w:pPr>
  </w:style>
  <w:style w:type="character" w:customStyle="1" w:styleId="9">
    <w:name w:val="页眉 Char"/>
    <w:basedOn w:val="7"/>
    <w:link w:val="4"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qFormat/>
    <w:uiPriority w:val="99"/>
    <w:rPr>
      <w:sz w:val="18"/>
      <w:szCs w:val="18"/>
    </w:rPr>
  </w:style>
  <w:style w:type="character" w:customStyle="1" w:styleId="11">
    <w:name w:val="批注框文本 Char"/>
    <w:basedOn w:val="7"/>
    <w:link w:val="2"/>
    <w:semiHidden/>
    <w:qFormat/>
    <w:uiPriority w:val="99"/>
    <w:rPr>
      <w:sz w:val="18"/>
      <w:szCs w:val="18"/>
    </w:rPr>
  </w:style>
  <w:style w:type="paragraph" w:customStyle="1" w:styleId="12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137</Words>
  <Characters>781</Characters>
  <Lines>6</Lines>
  <Paragraphs>1</Paragraphs>
  <TotalTime>0</TotalTime>
  <ScaleCrop>false</ScaleCrop>
  <LinksUpToDate>false</LinksUpToDate>
  <CharactersWithSpaces>917</CharactersWithSpaces>
  <Application>WPS Office_11.8.2.9864_F1E327BC-269C-435d-A152-05C5408002CA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2020-12-22T17:00:00Z</dcterms:created>
  <dc:creator>greatwall</dc:creator>
  <cp:lastModifiedBy>greatwall</cp:lastModifiedBy>
  <dcterms:modified xsi:type="dcterms:W3CDTF">2021-09-10T18:17:51Z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