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line="440" w:lineRule="exact"/>
        <w:jc w:val="center"/>
        <w:rPr>
          <w:rFonts w:ascii="仿宋" w:hAnsi="仿宋" w:eastAsia="仿宋"/>
          <w:b/>
          <w:sz w:val="32"/>
          <w:szCs w:val="32"/>
        </w:rPr>
      </w:pPr>
      <w:r>
        <w:rPr>
          <w:rFonts w:hint="eastAsia" w:ascii="仿宋" w:hAnsi="仿宋" w:eastAsia="仿宋"/>
          <w:b/>
          <w:sz w:val="32"/>
          <w:szCs w:val="32"/>
        </w:rPr>
        <w:t>经营者集中简易案件公示表</w:t>
      </w:r>
    </w:p>
    <w:tbl>
      <w:tblPr>
        <w:tblStyle w:val="7"/>
        <w:tblW w:w="8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shd w:val="clear" w:color="auto" w:fill="D9D9D9"/>
            <w:vAlign w:val="center"/>
          </w:tcPr>
          <w:p>
            <w:pPr>
              <w:spacing w:after="240" w:line="500" w:lineRule="exact"/>
              <w:jc w:val="center"/>
              <w:rPr>
                <w:rFonts w:ascii="仿宋" w:hAnsi="仿宋" w:eastAsia="仿宋"/>
                <w:sz w:val="24"/>
                <w:szCs w:val="24"/>
              </w:rPr>
            </w:pPr>
            <w:r>
              <w:rPr>
                <w:rFonts w:hint="eastAsia" w:ascii="仿宋" w:hAnsi="仿宋" w:eastAsia="仿宋"/>
                <w:sz w:val="24"/>
                <w:szCs w:val="24"/>
              </w:rPr>
              <w:t>案件名称</w:t>
            </w:r>
          </w:p>
        </w:tc>
        <w:tc>
          <w:tcPr>
            <w:tcW w:w="6949" w:type="dxa"/>
            <w:gridSpan w:val="2"/>
            <w:vAlign w:val="center"/>
          </w:tcPr>
          <w:p>
            <w:pPr>
              <w:spacing w:after="240" w:line="500" w:lineRule="exact"/>
              <w:rPr>
                <w:rFonts w:ascii="仿宋" w:hAnsi="仿宋" w:eastAsia="仿宋"/>
                <w:sz w:val="24"/>
                <w:szCs w:val="24"/>
              </w:rPr>
            </w:pPr>
            <w:r>
              <w:rPr>
                <w:rFonts w:hint="eastAsia" w:ascii="仿宋" w:hAnsi="仿宋" w:eastAsia="仿宋"/>
                <w:iCs/>
                <w:kern w:val="0"/>
                <w:sz w:val="24"/>
                <w:szCs w:val="24"/>
              </w:rPr>
              <w:t>海南省发展控股有限公司收购海航基础设施投资集团股份有限公司等四家公司股权案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jc w:val="center"/>
        </w:trPr>
        <w:tc>
          <w:tcPr>
            <w:tcW w:w="1809" w:type="dxa"/>
            <w:shd w:val="clear" w:color="auto" w:fill="D9D9D9"/>
            <w:vAlign w:val="center"/>
          </w:tcPr>
          <w:p>
            <w:pPr>
              <w:spacing w:after="240" w:line="500" w:lineRule="exact"/>
              <w:rPr>
                <w:rFonts w:ascii="仿宋" w:hAnsi="仿宋" w:eastAsia="仿宋"/>
                <w:sz w:val="24"/>
                <w:szCs w:val="24"/>
              </w:rPr>
            </w:pPr>
            <w:r>
              <w:rPr>
                <w:rFonts w:hint="eastAsia" w:ascii="仿宋" w:hAnsi="仿宋" w:eastAsia="仿宋"/>
                <w:sz w:val="24"/>
                <w:szCs w:val="24"/>
              </w:rPr>
              <w:t>交易概况（限200字内）</w:t>
            </w:r>
          </w:p>
        </w:tc>
        <w:tc>
          <w:tcPr>
            <w:tcW w:w="6949" w:type="dxa"/>
            <w:gridSpan w:val="2"/>
            <w:vAlign w:val="center"/>
          </w:tcPr>
          <w:p>
            <w:pPr>
              <w:spacing w:after="240" w:line="500" w:lineRule="exact"/>
              <w:rPr>
                <w:rFonts w:ascii="仿宋" w:hAnsi="仿宋" w:eastAsia="仿宋"/>
                <w:sz w:val="24"/>
                <w:szCs w:val="24"/>
              </w:rPr>
            </w:pPr>
            <w:r>
              <w:rPr>
                <w:rFonts w:hint="eastAsia" w:ascii="仿宋" w:hAnsi="仿宋" w:eastAsia="仿宋"/>
                <w:sz w:val="24"/>
                <w:szCs w:val="24"/>
              </w:rPr>
              <w:t>海南省高级人民法院于2021年2月10日裁定受理上市公司海航基础及其20家子公司共21家企业重整；于2</w:t>
            </w:r>
            <w:r>
              <w:rPr>
                <w:rFonts w:ascii="仿宋" w:hAnsi="仿宋" w:eastAsia="仿宋"/>
                <w:sz w:val="24"/>
                <w:szCs w:val="24"/>
              </w:rPr>
              <w:t>021</w:t>
            </w:r>
            <w:r>
              <w:rPr>
                <w:rFonts w:hint="eastAsia" w:ascii="仿宋" w:hAnsi="仿宋" w:eastAsia="仿宋"/>
                <w:sz w:val="24"/>
                <w:szCs w:val="24"/>
              </w:rPr>
              <w:t>年3月13日裁定海航集团等321家企业进行实质合并重整并指定海航集团清算组担任上述公司管理人。其中，海航基础设施投资集团股份有限公司、三亚翊航实业有限公司、海口美兰国际机场有限责任公司、海南博鳌机场管理有限公司及其关联公司共126家公司（“目标业务”）主要运营海航集团机场板块业务。经管理人确定，海南省发展控股有限公司（“海南控股”）为目标业务的重整战略投资者，管理人制定了重整计划草案。若投资完成，海南控股将取得对目标业务的单独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809" w:type="dxa"/>
            <w:vMerge w:val="restart"/>
            <w:shd w:val="clear" w:color="auto" w:fill="D9D9D9"/>
            <w:vAlign w:val="center"/>
          </w:tcPr>
          <w:p>
            <w:pPr>
              <w:spacing w:line="500" w:lineRule="exact"/>
              <w:rPr>
                <w:rFonts w:ascii="仿宋" w:hAnsi="仿宋" w:eastAsia="仿宋"/>
                <w:sz w:val="24"/>
                <w:szCs w:val="24"/>
              </w:rPr>
            </w:pPr>
            <w:r>
              <w:rPr>
                <w:rFonts w:hint="eastAsia" w:ascii="仿宋" w:hAnsi="仿宋" w:eastAsia="仿宋"/>
                <w:sz w:val="24"/>
                <w:szCs w:val="24"/>
              </w:rPr>
              <w:t>参与集中的经营者简介</w:t>
            </w:r>
          </w:p>
        </w:tc>
        <w:tc>
          <w:tcPr>
            <w:tcW w:w="1796" w:type="dxa"/>
            <w:vAlign w:val="center"/>
          </w:tcPr>
          <w:p>
            <w:pPr>
              <w:spacing w:line="500" w:lineRule="exact"/>
              <w:jc w:val="center"/>
              <w:rPr>
                <w:rFonts w:ascii="仿宋" w:hAnsi="仿宋" w:eastAsia="仿宋"/>
                <w:sz w:val="24"/>
                <w:szCs w:val="24"/>
              </w:rPr>
            </w:pPr>
            <w:r>
              <w:rPr>
                <w:rFonts w:hint="eastAsia" w:ascii="仿宋" w:hAnsi="仿宋" w:eastAsia="仿宋"/>
                <w:sz w:val="24"/>
                <w:szCs w:val="24"/>
              </w:rPr>
              <w:t>1、海南控股</w:t>
            </w:r>
          </w:p>
        </w:tc>
        <w:tc>
          <w:tcPr>
            <w:tcW w:w="5153" w:type="dxa"/>
            <w:vAlign w:val="center"/>
          </w:tcPr>
          <w:p>
            <w:pPr>
              <w:spacing w:line="500" w:lineRule="exact"/>
              <w:rPr>
                <w:rFonts w:ascii="仿宋" w:hAnsi="仿宋" w:eastAsia="仿宋"/>
                <w:sz w:val="24"/>
                <w:szCs w:val="24"/>
              </w:rPr>
            </w:pPr>
            <w:r>
              <w:rPr>
                <w:rFonts w:hint="eastAsia" w:ascii="仿宋" w:hAnsi="仿宋" w:eastAsia="仿宋"/>
                <w:sz w:val="24"/>
                <w:szCs w:val="24"/>
              </w:rPr>
              <w:t>海南控股成立于2005年，是海南省人民政府为了引进重大项目，带动省外资金投资海南，推进省内重大项目实施，促进海南经济发展而设立的综合性投资控股国有独资公司。主营业务包括基础设施建设、股权投资、金融业务、资产管理和实业运营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809" w:type="dxa"/>
            <w:vMerge w:val="continue"/>
            <w:shd w:val="clear" w:color="auto" w:fill="D9D9D9"/>
            <w:vAlign w:val="center"/>
          </w:tcPr>
          <w:p>
            <w:pPr>
              <w:spacing w:line="500" w:lineRule="exact"/>
              <w:rPr>
                <w:rFonts w:ascii="仿宋" w:hAnsi="仿宋" w:eastAsia="仿宋"/>
                <w:sz w:val="24"/>
                <w:szCs w:val="24"/>
              </w:rPr>
            </w:pPr>
          </w:p>
        </w:tc>
        <w:tc>
          <w:tcPr>
            <w:tcW w:w="1796" w:type="dxa"/>
            <w:vAlign w:val="center"/>
          </w:tcPr>
          <w:p>
            <w:pPr>
              <w:spacing w:line="500" w:lineRule="exact"/>
              <w:jc w:val="center"/>
              <w:rPr>
                <w:rFonts w:ascii="仿宋" w:hAnsi="仿宋" w:eastAsia="仿宋"/>
                <w:sz w:val="24"/>
                <w:szCs w:val="24"/>
              </w:rPr>
            </w:pPr>
            <w:r>
              <w:rPr>
                <w:rFonts w:hint="eastAsia" w:ascii="仿宋" w:hAnsi="仿宋" w:eastAsia="仿宋"/>
                <w:sz w:val="24"/>
                <w:szCs w:val="24"/>
              </w:rPr>
              <w:t>2、海航基础设施投资集团股份有限公司</w:t>
            </w:r>
          </w:p>
        </w:tc>
        <w:tc>
          <w:tcPr>
            <w:tcW w:w="5153" w:type="dxa"/>
            <w:vAlign w:val="center"/>
          </w:tcPr>
          <w:p>
            <w:pPr>
              <w:spacing w:line="500" w:lineRule="exact"/>
              <w:rPr>
                <w:rFonts w:ascii="仿宋" w:hAnsi="仿宋" w:eastAsia="仿宋"/>
                <w:sz w:val="24"/>
                <w:szCs w:val="24"/>
              </w:rPr>
            </w:pPr>
            <w:r>
              <w:rPr>
                <w:rFonts w:hint="eastAsia" w:ascii="仿宋" w:hAnsi="仿宋" w:eastAsia="仿宋"/>
                <w:sz w:val="24"/>
                <w:szCs w:val="24"/>
              </w:rPr>
              <w:t>海航基础设施投资集团股份有限公司成立于1993年，并于2002年8月上海证券交易所主板A股挂牌上市，主要从事基础设施建设运营，经营管理从事客运、货运为主的境内外机场，另外，其业务范围也涵盖地产、物业、工程建设等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809" w:type="dxa"/>
            <w:vMerge w:val="continue"/>
            <w:shd w:val="clear" w:color="auto" w:fill="D9D9D9"/>
            <w:vAlign w:val="center"/>
          </w:tcPr>
          <w:p>
            <w:pPr>
              <w:spacing w:line="500" w:lineRule="exact"/>
              <w:rPr>
                <w:rFonts w:ascii="仿宋" w:hAnsi="仿宋" w:eastAsia="仿宋"/>
                <w:sz w:val="24"/>
                <w:szCs w:val="24"/>
              </w:rPr>
            </w:pPr>
          </w:p>
        </w:tc>
        <w:tc>
          <w:tcPr>
            <w:tcW w:w="1796" w:type="dxa"/>
            <w:vAlign w:val="center"/>
          </w:tcPr>
          <w:p>
            <w:pPr>
              <w:spacing w:line="500" w:lineRule="exact"/>
              <w:jc w:val="center"/>
              <w:rPr>
                <w:rFonts w:hint="eastAsia" w:ascii="仿宋" w:hAnsi="仿宋" w:eastAsia="仿宋"/>
                <w:sz w:val="24"/>
                <w:szCs w:val="24"/>
              </w:rPr>
            </w:pPr>
            <w:r>
              <w:rPr>
                <w:rFonts w:hint="eastAsia" w:ascii="仿宋" w:hAnsi="仿宋" w:eastAsia="仿宋"/>
                <w:sz w:val="24"/>
                <w:szCs w:val="24"/>
              </w:rPr>
              <w:t>3、三亚翊航实业有限公司</w:t>
            </w:r>
          </w:p>
        </w:tc>
        <w:tc>
          <w:tcPr>
            <w:tcW w:w="5153" w:type="dxa"/>
            <w:vAlign w:val="center"/>
          </w:tcPr>
          <w:p>
            <w:pPr>
              <w:spacing w:line="500" w:lineRule="exact"/>
              <w:rPr>
                <w:rFonts w:hint="eastAsia" w:ascii="仿宋" w:hAnsi="仿宋" w:eastAsia="仿宋"/>
                <w:sz w:val="24"/>
                <w:szCs w:val="24"/>
              </w:rPr>
            </w:pPr>
            <w:r>
              <w:rPr>
                <w:rFonts w:hint="eastAsia" w:ascii="仿宋" w:hAnsi="仿宋" w:eastAsia="仿宋"/>
                <w:sz w:val="24"/>
                <w:szCs w:val="24"/>
              </w:rPr>
              <w:t>三亚翊航实业有限公司成立于2008年，主营业务为商服服务，为平台公司，主要收入来自中国境内的股权投资。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809" w:type="dxa"/>
            <w:vMerge w:val="continue"/>
            <w:shd w:val="clear" w:color="auto" w:fill="D9D9D9"/>
            <w:vAlign w:val="center"/>
          </w:tcPr>
          <w:p>
            <w:pPr>
              <w:spacing w:line="500" w:lineRule="exact"/>
              <w:rPr>
                <w:rFonts w:ascii="仿宋" w:hAnsi="仿宋" w:eastAsia="仿宋"/>
                <w:sz w:val="24"/>
                <w:szCs w:val="24"/>
              </w:rPr>
            </w:pPr>
          </w:p>
        </w:tc>
        <w:tc>
          <w:tcPr>
            <w:tcW w:w="1796" w:type="dxa"/>
            <w:vAlign w:val="center"/>
          </w:tcPr>
          <w:p>
            <w:pPr>
              <w:spacing w:line="500" w:lineRule="exact"/>
              <w:jc w:val="center"/>
              <w:rPr>
                <w:rFonts w:hint="eastAsia" w:ascii="仿宋" w:hAnsi="仿宋" w:eastAsia="仿宋"/>
                <w:sz w:val="24"/>
                <w:szCs w:val="24"/>
              </w:rPr>
            </w:pPr>
            <w:r>
              <w:rPr>
                <w:rFonts w:hint="eastAsia" w:ascii="仿宋" w:hAnsi="仿宋" w:eastAsia="仿宋"/>
                <w:sz w:val="24"/>
                <w:szCs w:val="24"/>
              </w:rPr>
              <w:t>4、海口美兰国际机场有限责任公司</w:t>
            </w:r>
          </w:p>
        </w:tc>
        <w:tc>
          <w:tcPr>
            <w:tcW w:w="5153" w:type="dxa"/>
            <w:vAlign w:val="center"/>
          </w:tcPr>
          <w:p>
            <w:pPr>
              <w:spacing w:line="500" w:lineRule="exact"/>
              <w:rPr>
                <w:rFonts w:hint="eastAsia" w:ascii="仿宋" w:hAnsi="仿宋" w:eastAsia="仿宋"/>
                <w:sz w:val="24"/>
                <w:szCs w:val="24"/>
              </w:rPr>
            </w:pPr>
            <w:r>
              <w:rPr>
                <w:rFonts w:hint="eastAsia" w:ascii="仿宋" w:hAnsi="仿宋" w:eastAsia="仿宋"/>
                <w:sz w:val="24"/>
                <w:szCs w:val="24"/>
              </w:rPr>
              <w:t>海口美兰国际机场有限责任公司成立于1998年，主要运营位于海南省海口市的美兰国际机场。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809" w:type="dxa"/>
            <w:vMerge w:val="continue"/>
            <w:shd w:val="clear" w:color="auto" w:fill="D9D9D9"/>
            <w:vAlign w:val="center"/>
          </w:tcPr>
          <w:p>
            <w:pPr>
              <w:spacing w:line="500" w:lineRule="exact"/>
              <w:rPr>
                <w:rFonts w:ascii="仿宋" w:hAnsi="仿宋" w:eastAsia="仿宋"/>
                <w:sz w:val="24"/>
                <w:szCs w:val="24"/>
              </w:rPr>
            </w:pPr>
          </w:p>
        </w:tc>
        <w:tc>
          <w:tcPr>
            <w:tcW w:w="1796" w:type="dxa"/>
            <w:vAlign w:val="center"/>
          </w:tcPr>
          <w:p>
            <w:pPr>
              <w:spacing w:line="500" w:lineRule="exact"/>
              <w:jc w:val="center"/>
              <w:rPr>
                <w:rFonts w:hint="eastAsia" w:ascii="仿宋" w:hAnsi="仿宋" w:eastAsia="仿宋"/>
                <w:sz w:val="24"/>
                <w:szCs w:val="24"/>
              </w:rPr>
            </w:pPr>
            <w:r>
              <w:rPr>
                <w:rFonts w:hint="eastAsia" w:ascii="仿宋" w:hAnsi="仿宋" w:eastAsia="仿宋"/>
                <w:sz w:val="24"/>
                <w:szCs w:val="24"/>
              </w:rPr>
              <w:t>5、海南博鳌机场管理有限公司</w:t>
            </w:r>
          </w:p>
        </w:tc>
        <w:tc>
          <w:tcPr>
            <w:tcW w:w="5153" w:type="dxa"/>
            <w:vAlign w:val="center"/>
          </w:tcPr>
          <w:p>
            <w:pPr>
              <w:spacing w:line="500" w:lineRule="exact"/>
              <w:rPr>
                <w:rFonts w:hint="eastAsia" w:ascii="仿宋" w:hAnsi="仿宋" w:eastAsia="仿宋"/>
                <w:sz w:val="24"/>
                <w:szCs w:val="24"/>
              </w:rPr>
            </w:pPr>
            <w:r>
              <w:rPr>
                <w:rFonts w:hint="eastAsia" w:ascii="仿宋" w:hAnsi="仿宋" w:eastAsia="仿宋"/>
                <w:sz w:val="24"/>
                <w:szCs w:val="24"/>
              </w:rPr>
              <w:t>海南博鳌机场管理有限公司成立于2015年，主营业务为博鳌机场运营管理及其配套服务。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809" w:type="dxa"/>
            <w:vMerge w:val="restart"/>
            <w:shd w:val="clear" w:color="auto" w:fill="D9D9D9"/>
            <w:vAlign w:val="center"/>
          </w:tcPr>
          <w:p>
            <w:pPr>
              <w:spacing w:line="500" w:lineRule="exact"/>
              <w:rPr>
                <w:rFonts w:ascii="仿宋" w:hAnsi="仿宋" w:eastAsia="仿宋"/>
                <w:sz w:val="24"/>
                <w:szCs w:val="24"/>
              </w:rPr>
            </w:pPr>
            <w:r>
              <w:rPr>
                <w:rFonts w:hint="eastAsia" w:ascii="仿宋" w:hAnsi="仿宋" w:eastAsia="仿宋"/>
                <w:sz w:val="24"/>
                <w:szCs w:val="24"/>
              </w:rPr>
              <w:t>简易案件理由（可以单选，也可以多选）</w:t>
            </w:r>
          </w:p>
        </w:tc>
        <w:tc>
          <w:tcPr>
            <w:tcW w:w="6949" w:type="dxa"/>
            <w:gridSpan w:val="2"/>
            <w:vAlign w:val="center"/>
          </w:tcPr>
          <w:p>
            <w:pPr>
              <w:spacing w:line="500" w:lineRule="exact"/>
              <w:rPr>
                <w:rFonts w:ascii="仿宋" w:hAnsi="仿宋" w:eastAsia="仿宋"/>
                <w:sz w:val="24"/>
                <w:szCs w:val="24"/>
              </w:rPr>
            </w:pPr>
            <w:r>
              <w:rPr>
                <w:rFonts w:hint="eastAsia" w:ascii="仿宋" w:hAnsi="仿宋" w:eastAsia="仿宋"/>
                <w:sz w:val="24"/>
                <w:szCs w:val="24"/>
              </w:rPr>
              <w:sym w:font="Wingdings" w:char="F0FE"/>
            </w:r>
            <w:r>
              <w:rPr>
                <w:rFonts w:ascii="仿宋" w:hAnsi="仿宋" w:eastAsia="仿宋"/>
                <w:sz w:val="24"/>
                <w:szCs w:val="24"/>
              </w:rPr>
              <w:t xml:space="preserve"> </w:t>
            </w:r>
            <w:r>
              <w:rPr>
                <w:rFonts w:hint="eastAsia" w:ascii="仿宋" w:hAnsi="仿宋" w:eastAsia="仿宋"/>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809" w:type="dxa"/>
            <w:vMerge w:val="continue"/>
            <w:shd w:val="clear" w:color="auto" w:fill="D9D9D9"/>
            <w:vAlign w:val="center"/>
          </w:tcPr>
          <w:p>
            <w:pPr>
              <w:spacing w:line="500" w:lineRule="exact"/>
              <w:rPr>
                <w:rFonts w:ascii="仿宋" w:hAnsi="仿宋" w:eastAsia="仿宋"/>
                <w:sz w:val="24"/>
                <w:szCs w:val="24"/>
              </w:rPr>
            </w:pPr>
          </w:p>
        </w:tc>
        <w:tc>
          <w:tcPr>
            <w:tcW w:w="6949" w:type="dxa"/>
            <w:gridSpan w:val="2"/>
            <w:vAlign w:val="center"/>
          </w:tcPr>
          <w:p>
            <w:pPr>
              <w:spacing w:line="500" w:lineRule="exact"/>
              <w:rPr>
                <w:rFonts w:ascii="仿宋" w:hAnsi="仿宋" w:eastAsia="仿宋"/>
                <w:sz w:val="24"/>
                <w:szCs w:val="24"/>
              </w:rPr>
            </w:pPr>
            <w:r>
              <w:rPr>
                <w:rFonts w:hint="eastAsia" w:ascii="仿宋" w:hAnsi="仿宋" w:eastAsia="仿宋"/>
                <w:sz w:val="24"/>
                <w:szCs w:val="24"/>
              </w:rPr>
              <w:sym w:font="Wingdings" w:char="F0FE"/>
            </w:r>
            <w:r>
              <w:rPr>
                <w:rFonts w:ascii="仿宋" w:hAnsi="仿宋" w:eastAsia="仿宋"/>
                <w:sz w:val="24"/>
                <w:szCs w:val="24"/>
              </w:rPr>
              <w:t xml:space="preserve"> </w:t>
            </w:r>
            <w:r>
              <w:rPr>
                <w:rFonts w:hint="eastAsia" w:ascii="仿宋" w:hAnsi="仿宋" w:eastAsia="仿宋"/>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809" w:type="dxa"/>
            <w:vMerge w:val="continue"/>
            <w:shd w:val="clear" w:color="auto" w:fill="D9D9D9"/>
            <w:vAlign w:val="center"/>
          </w:tcPr>
          <w:p>
            <w:pPr>
              <w:spacing w:line="500" w:lineRule="exact"/>
              <w:rPr>
                <w:rFonts w:ascii="仿宋" w:hAnsi="仿宋" w:eastAsia="仿宋"/>
                <w:sz w:val="24"/>
                <w:szCs w:val="24"/>
              </w:rPr>
            </w:pPr>
          </w:p>
        </w:tc>
        <w:tc>
          <w:tcPr>
            <w:tcW w:w="6949" w:type="dxa"/>
            <w:gridSpan w:val="2"/>
            <w:vAlign w:val="center"/>
          </w:tcPr>
          <w:p>
            <w:pPr>
              <w:pStyle w:val="16"/>
              <w:numPr>
                <w:ilvl w:val="0"/>
                <w:numId w:val="1"/>
              </w:numPr>
              <w:spacing w:line="500" w:lineRule="exact"/>
              <w:ind w:firstLineChars="0"/>
              <w:rPr>
                <w:rFonts w:ascii="仿宋" w:hAnsi="仿宋" w:eastAsia="仿宋"/>
                <w:sz w:val="24"/>
                <w:szCs w:val="24"/>
              </w:rPr>
            </w:pPr>
            <w:r>
              <w:rPr>
                <w:rFonts w:hint="eastAsia" w:ascii="仿宋" w:hAnsi="仿宋" w:eastAsia="仿宋"/>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809" w:type="dxa"/>
            <w:vMerge w:val="continue"/>
            <w:shd w:val="clear" w:color="auto" w:fill="D9D9D9"/>
            <w:vAlign w:val="center"/>
          </w:tcPr>
          <w:p>
            <w:pPr>
              <w:spacing w:line="500" w:lineRule="exact"/>
              <w:rPr>
                <w:rFonts w:ascii="仿宋" w:hAnsi="仿宋" w:eastAsia="仿宋"/>
                <w:sz w:val="24"/>
                <w:szCs w:val="24"/>
              </w:rPr>
            </w:pPr>
          </w:p>
        </w:tc>
        <w:tc>
          <w:tcPr>
            <w:tcW w:w="6949" w:type="dxa"/>
            <w:gridSpan w:val="2"/>
            <w:vAlign w:val="center"/>
          </w:tcPr>
          <w:p>
            <w:pPr>
              <w:pStyle w:val="16"/>
              <w:numPr>
                <w:ilvl w:val="0"/>
                <w:numId w:val="2"/>
              </w:numPr>
              <w:spacing w:line="500" w:lineRule="exact"/>
              <w:ind w:firstLineChars="0"/>
              <w:rPr>
                <w:rFonts w:ascii="仿宋" w:hAnsi="仿宋" w:eastAsia="仿宋"/>
                <w:sz w:val="24"/>
                <w:szCs w:val="24"/>
              </w:rPr>
            </w:pPr>
            <w:r>
              <w:rPr>
                <w:rFonts w:hint="eastAsia" w:ascii="仿宋" w:hAnsi="仿宋" w:eastAsia="仿宋"/>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809" w:type="dxa"/>
            <w:vMerge w:val="continue"/>
            <w:shd w:val="clear" w:color="auto" w:fill="D9D9D9"/>
            <w:vAlign w:val="center"/>
          </w:tcPr>
          <w:p>
            <w:pPr>
              <w:spacing w:line="500" w:lineRule="exact"/>
              <w:rPr>
                <w:rFonts w:ascii="仿宋" w:hAnsi="仿宋" w:eastAsia="仿宋"/>
                <w:sz w:val="24"/>
                <w:szCs w:val="24"/>
              </w:rPr>
            </w:pPr>
          </w:p>
        </w:tc>
        <w:tc>
          <w:tcPr>
            <w:tcW w:w="6949" w:type="dxa"/>
            <w:gridSpan w:val="2"/>
            <w:vAlign w:val="center"/>
          </w:tcPr>
          <w:p>
            <w:pPr>
              <w:pStyle w:val="16"/>
              <w:numPr>
                <w:ilvl w:val="0"/>
                <w:numId w:val="2"/>
              </w:numPr>
              <w:spacing w:line="500" w:lineRule="exact"/>
              <w:ind w:firstLineChars="0"/>
              <w:rPr>
                <w:rFonts w:ascii="仿宋" w:hAnsi="仿宋" w:eastAsia="仿宋"/>
                <w:sz w:val="24"/>
                <w:szCs w:val="24"/>
              </w:rPr>
            </w:pPr>
            <w:r>
              <w:rPr>
                <w:rFonts w:hint="eastAsia" w:ascii="仿宋" w:hAnsi="仿宋" w:eastAsia="仿宋"/>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809" w:type="dxa"/>
            <w:vMerge w:val="continue"/>
            <w:shd w:val="clear" w:color="auto" w:fill="D9D9D9"/>
            <w:vAlign w:val="center"/>
          </w:tcPr>
          <w:p>
            <w:pPr>
              <w:spacing w:line="500" w:lineRule="exact"/>
              <w:rPr>
                <w:rFonts w:ascii="仿宋" w:hAnsi="仿宋" w:eastAsia="仿宋"/>
                <w:sz w:val="24"/>
                <w:szCs w:val="24"/>
              </w:rPr>
            </w:pPr>
          </w:p>
        </w:tc>
        <w:tc>
          <w:tcPr>
            <w:tcW w:w="6949" w:type="dxa"/>
            <w:gridSpan w:val="2"/>
            <w:vAlign w:val="center"/>
          </w:tcPr>
          <w:p>
            <w:pPr>
              <w:pStyle w:val="16"/>
              <w:numPr>
                <w:ilvl w:val="0"/>
                <w:numId w:val="2"/>
              </w:numPr>
              <w:spacing w:line="500" w:lineRule="exact"/>
              <w:ind w:firstLineChars="0"/>
              <w:rPr>
                <w:rFonts w:ascii="仿宋" w:hAnsi="仿宋" w:eastAsia="仿宋"/>
                <w:sz w:val="24"/>
                <w:szCs w:val="24"/>
              </w:rPr>
            </w:pPr>
            <w:r>
              <w:rPr>
                <w:rFonts w:hint="eastAsia" w:ascii="仿宋" w:hAnsi="仿宋" w:eastAsia="仿宋"/>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shd w:val="clear" w:color="auto" w:fill="D9D9D9"/>
            <w:vAlign w:val="center"/>
          </w:tcPr>
          <w:p>
            <w:pPr>
              <w:spacing w:line="500" w:lineRule="exact"/>
              <w:jc w:val="center"/>
              <w:rPr>
                <w:rFonts w:ascii="仿宋" w:hAnsi="仿宋" w:eastAsia="仿宋"/>
                <w:sz w:val="24"/>
                <w:szCs w:val="24"/>
              </w:rPr>
            </w:pPr>
            <w:r>
              <w:rPr>
                <w:rFonts w:hint="eastAsia" w:ascii="仿宋" w:hAnsi="仿宋" w:eastAsia="仿宋"/>
                <w:sz w:val="24"/>
                <w:szCs w:val="24"/>
              </w:rPr>
              <w:t>备注</w:t>
            </w:r>
          </w:p>
        </w:tc>
        <w:tc>
          <w:tcPr>
            <w:tcW w:w="6949" w:type="dxa"/>
            <w:gridSpan w:val="2"/>
            <w:vAlign w:val="center"/>
          </w:tcPr>
          <w:p>
            <w:pPr>
              <w:spacing w:line="500" w:lineRule="exact"/>
              <w:rPr>
                <w:rFonts w:ascii="仿宋" w:hAnsi="仿宋" w:eastAsia="仿宋"/>
                <w:sz w:val="24"/>
                <w:szCs w:val="24"/>
              </w:rPr>
            </w:pPr>
          </w:p>
          <w:p>
            <w:pPr>
              <w:pStyle w:val="16"/>
              <w:numPr>
                <w:ilvl w:val="0"/>
                <w:numId w:val="3"/>
              </w:numPr>
              <w:spacing w:line="500" w:lineRule="exact"/>
              <w:ind w:firstLineChars="0"/>
              <w:rPr>
                <w:rFonts w:ascii="仿宋" w:hAnsi="仿宋" w:eastAsia="仿宋"/>
                <w:sz w:val="24"/>
                <w:szCs w:val="24"/>
              </w:rPr>
            </w:pPr>
            <w:r>
              <w:rPr>
                <w:rFonts w:hint="eastAsia" w:ascii="仿宋" w:hAnsi="仿宋" w:eastAsia="仿宋"/>
                <w:sz w:val="24"/>
                <w:szCs w:val="24"/>
              </w:rPr>
              <w:t>海口市商品住宅开发销售市场</w:t>
            </w:r>
          </w:p>
          <w:p>
            <w:pPr>
              <w:pStyle w:val="16"/>
              <w:numPr>
                <w:ilvl w:val="0"/>
                <w:numId w:val="4"/>
              </w:numPr>
              <w:spacing w:line="500" w:lineRule="exact"/>
              <w:ind w:hanging="71" w:firstLineChars="0"/>
              <w:rPr>
                <w:rFonts w:ascii="仿宋" w:hAnsi="仿宋" w:eastAsia="仿宋"/>
                <w:sz w:val="24"/>
                <w:szCs w:val="24"/>
              </w:rPr>
            </w:pPr>
            <w:r>
              <w:rPr>
                <w:rFonts w:hint="eastAsia" w:ascii="仿宋" w:hAnsi="仿宋" w:eastAsia="仿宋"/>
                <w:sz w:val="24"/>
                <w:szCs w:val="24"/>
              </w:rPr>
              <w:t>海航基础设施投资集团股份有限公司：0</w:t>
            </w:r>
            <w:r>
              <w:rPr>
                <w:rFonts w:ascii="仿宋" w:hAnsi="仿宋" w:eastAsia="仿宋"/>
                <w:sz w:val="24"/>
                <w:szCs w:val="24"/>
              </w:rPr>
              <w:t>-5</w:t>
            </w:r>
            <w:r>
              <w:rPr>
                <w:rFonts w:hint="eastAsia" w:ascii="仿宋" w:hAnsi="仿宋" w:eastAsia="仿宋"/>
                <w:sz w:val="24"/>
                <w:szCs w:val="24"/>
              </w:rPr>
              <w:t>%</w:t>
            </w:r>
          </w:p>
          <w:p>
            <w:pPr>
              <w:pStyle w:val="16"/>
              <w:numPr>
                <w:ilvl w:val="0"/>
                <w:numId w:val="4"/>
              </w:numPr>
              <w:spacing w:line="500" w:lineRule="exact"/>
              <w:ind w:hanging="71" w:firstLineChars="0"/>
              <w:rPr>
                <w:rFonts w:ascii="仿宋" w:hAnsi="仿宋" w:eastAsia="仿宋"/>
                <w:sz w:val="24"/>
                <w:szCs w:val="24"/>
              </w:rPr>
            </w:pPr>
            <w:r>
              <w:rPr>
                <w:rFonts w:hint="eastAsia" w:ascii="仿宋" w:hAnsi="仿宋" w:eastAsia="仿宋"/>
                <w:sz w:val="24"/>
                <w:szCs w:val="24"/>
              </w:rPr>
              <w:t>海南控股：0</w:t>
            </w:r>
            <w:r>
              <w:rPr>
                <w:rFonts w:ascii="仿宋" w:hAnsi="仿宋" w:eastAsia="仿宋"/>
                <w:sz w:val="24"/>
                <w:szCs w:val="24"/>
              </w:rPr>
              <w:t>-5</w:t>
            </w:r>
            <w:r>
              <w:rPr>
                <w:rFonts w:hint="eastAsia" w:ascii="仿宋" w:hAnsi="仿宋" w:eastAsia="仿宋"/>
                <w:sz w:val="24"/>
                <w:szCs w:val="24"/>
              </w:rPr>
              <w:t>%</w:t>
            </w:r>
          </w:p>
          <w:p>
            <w:pPr>
              <w:spacing w:line="500" w:lineRule="exact"/>
              <w:ind w:left="840" w:hanging="491"/>
              <w:rPr>
                <w:rFonts w:hint="eastAsia" w:ascii="仿宋" w:hAnsi="仿宋" w:eastAsia="仿宋"/>
                <w:sz w:val="24"/>
                <w:szCs w:val="24"/>
              </w:rPr>
            </w:pPr>
            <w:r>
              <w:rPr>
                <w:rFonts w:hint="eastAsia" w:ascii="仿宋" w:hAnsi="仿宋" w:eastAsia="仿宋"/>
                <w:sz w:val="24"/>
                <w:szCs w:val="24"/>
              </w:rPr>
              <w:t>参与集中经营者合计：0</w:t>
            </w:r>
            <w:r>
              <w:rPr>
                <w:rFonts w:ascii="仿宋" w:hAnsi="仿宋" w:eastAsia="仿宋"/>
                <w:sz w:val="24"/>
                <w:szCs w:val="24"/>
              </w:rPr>
              <w:t>-5</w:t>
            </w:r>
            <w:r>
              <w:rPr>
                <w:rFonts w:hint="eastAsia" w:ascii="仿宋" w:hAnsi="仿宋" w:eastAsia="仿宋"/>
                <w:sz w:val="24"/>
                <w:szCs w:val="24"/>
              </w:rPr>
              <w:t>%</w:t>
            </w:r>
          </w:p>
          <w:p>
            <w:pPr>
              <w:pStyle w:val="16"/>
              <w:numPr>
                <w:ilvl w:val="0"/>
                <w:numId w:val="3"/>
              </w:numPr>
              <w:spacing w:line="500" w:lineRule="exact"/>
              <w:ind w:left="360" w:leftChars="0" w:hanging="360" w:firstLineChars="0"/>
              <w:rPr>
                <w:rFonts w:hint="eastAsia" w:ascii="仿宋" w:hAnsi="仿宋" w:eastAsia="仿宋" w:cs="Times New Roman"/>
                <w:sz w:val="24"/>
                <w:szCs w:val="24"/>
                <w:lang w:val="en-US" w:eastAsia="zh-CN"/>
              </w:rPr>
            </w:pPr>
            <w:bookmarkStart w:id="0" w:name="_Hlk82870384"/>
            <w:r>
              <w:rPr>
                <w:rFonts w:hint="eastAsia" w:ascii="仿宋" w:hAnsi="仿宋" w:eastAsia="仿宋" w:cs="Times New Roman"/>
                <w:kern w:val="2"/>
                <w:sz w:val="24"/>
                <w:szCs w:val="24"/>
                <w:lang w:val="en-US" w:eastAsia="zh-CN"/>
              </w:rPr>
              <w:t>中国房屋建筑工程施工总承包</w:t>
            </w:r>
            <w:bookmarkEnd w:id="0"/>
            <w:r>
              <w:rPr>
                <w:rFonts w:hint="eastAsia" w:ascii="仿宋" w:hAnsi="仿宋" w:eastAsia="仿宋" w:cs="Times New Roman"/>
                <w:kern w:val="2"/>
                <w:sz w:val="24"/>
                <w:szCs w:val="24"/>
                <w:lang w:val="en-US" w:eastAsia="zh-CN"/>
              </w:rPr>
              <w:t>市场</w:t>
            </w:r>
          </w:p>
          <w:p>
            <w:pPr>
              <w:pStyle w:val="16"/>
              <w:numPr>
                <w:ilvl w:val="0"/>
                <w:numId w:val="4"/>
              </w:numPr>
              <w:spacing w:line="500" w:lineRule="exact"/>
              <w:ind w:hanging="71" w:firstLineChars="0"/>
              <w:rPr>
                <w:rFonts w:ascii="仿宋" w:hAnsi="仿宋" w:eastAsia="仿宋"/>
                <w:sz w:val="24"/>
                <w:szCs w:val="24"/>
              </w:rPr>
            </w:pPr>
            <w:r>
              <w:rPr>
                <w:rFonts w:hint="eastAsia" w:ascii="仿宋" w:hAnsi="仿宋" w:eastAsia="仿宋"/>
                <w:sz w:val="24"/>
                <w:szCs w:val="24"/>
              </w:rPr>
              <w:t>海南控股：0</w:t>
            </w:r>
            <w:r>
              <w:rPr>
                <w:rFonts w:ascii="仿宋" w:hAnsi="仿宋" w:eastAsia="仿宋"/>
                <w:sz w:val="24"/>
                <w:szCs w:val="24"/>
              </w:rPr>
              <w:t>-5</w:t>
            </w:r>
            <w:r>
              <w:rPr>
                <w:rFonts w:hint="eastAsia" w:ascii="仿宋" w:hAnsi="仿宋" w:eastAsia="仿宋"/>
                <w:sz w:val="24"/>
                <w:szCs w:val="24"/>
              </w:rPr>
              <w:t>%</w:t>
            </w:r>
          </w:p>
          <w:p>
            <w:pPr>
              <w:spacing w:line="500" w:lineRule="exact"/>
              <w:ind w:left="840" w:hanging="491"/>
              <w:rPr>
                <w:rFonts w:hint="eastAsia" w:ascii="仿宋" w:hAnsi="仿宋" w:eastAsia="仿宋"/>
                <w:sz w:val="24"/>
                <w:szCs w:val="24"/>
              </w:rPr>
            </w:pPr>
            <w:r>
              <w:rPr>
                <w:rFonts w:hint="eastAsia" w:ascii="仿宋" w:hAnsi="仿宋" w:eastAsia="仿宋"/>
                <w:sz w:val="24"/>
                <w:szCs w:val="24"/>
              </w:rPr>
              <w:t>参与集中经营者合计：0</w:t>
            </w:r>
            <w:r>
              <w:rPr>
                <w:rFonts w:ascii="仿宋" w:hAnsi="仿宋" w:eastAsia="仿宋"/>
                <w:sz w:val="24"/>
                <w:szCs w:val="24"/>
              </w:rPr>
              <w:t>-5</w:t>
            </w:r>
            <w:r>
              <w:rPr>
                <w:rFonts w:hint="eastAsia" w:ascii="仿宋" w:hAnsi="仿宋" w:eastAsia="仿宋"/>
                <w:sz w:val="24"/>
                <w:szCs w:val="24"/>
              </w:rPr>
              <w:t>%</w:t>
            </w:r>
          </w:p>
          <w:p>
            <w:pPr>
              <w:pStyle w:val="16"/>
              <w:numPr>
                <w:ilvl w:val="0"/>
                <w:numId w:val="3"/>
              </w:numPr>
              <w:spacing w:line="500" w:lineRule="exact"/>
              <w:ind w:firstLineChars="0"/>
              <w:rPr>
                <w:rFonts w:ascii="仿宋" w:hAnsi="仿宋" w:eastAsia="仿宋"/>
                <w:sz w:val="24"/>
                <w:szCs w:val="24"/>
              </w:rPr>
            </w:pPr>
            <w:r>
              <w:rPr>
                <w:rFonts w:hint="eastAsia" w:ascii="仿宋" w:hAnsi="仿宋" w:eastAsia="仿宋"/>
                <w:sz w:val="24"/>
                <w:szCs w:val="24"/>
              </w:rPr>
              <w:t>中国机场基础设施管理和运营市场</w:t>
            </w:r>
          </w:p>
          <w:p>
            <w:pPr>
              <w:pStyle w:val="16"/>
              <w:numPr>
                <w:ilvl w:val="0"/>
                <w:numId w:val="4"/>
              </w:numPr>
              <w:spacing w:line="500" w:lineRule="exact"/>
              <w:ind w:hanging="71" w:firstLineChars="0"/>
              <w:rPr>
                <w:rFonts w:ascii="仿宋" w:hAnsi="仿宋" w:eastAsia="仿宋"/>
                <w:sz w:val="24"/>
                <w:szCs w:val="24"/>
              </w:rPr>
            </w:pPr>
            <w:r>
              <w:rPr>
                <w:rFonts w:hint="eastAsia" w:ascii="仿宋" w:hAnsi="仿宋" w:eastAsia="仿宋"/>
                <w:sz w:val="24"/>
                <w:szCs w:val="24"/>
              </w:rPr>
              <w:t>海航基础设施投资集团股份有限公司：0</w:t>
            </w:r>
            <w:r>
              <w:rPr>
                <w:rFonts w:ascii="仿宋" w:hAnsi="仿宋" w:eastAsia="仿宋"/>
                <w:sz w:val="24"/>
                <w:szCs w:val="24"/>
              </w:rPr>
              <w:t>-5</w:t>
            </w:r>
            <w:r>
              <w:rPr>
                <w:rFonts w:hint="eastAsia" w:ascii="仿宋" w:hAnsi="仿宋" w:eastAsia="仿宋"/>
                <w:sz w:val="24"/>
                <w:szCs w:val="24"/>
              </w:rPr>
              <w:t>%</w:t>
            </w:r>
            <w:bookmarkStart w:id="1" w:name="_GoBack"/>
            <w:bookmarkEnd w:id="1"/>
          </w:p>
          <w:p>
            <w:pPr>
              <w:pStyle w:val="16"/>
              <w:numPr>
                <w:ilvl w:val="0"/>
                <w:numId w:val="4"/>
              </w:numPr>
              <w:spacing w:line="500" w:lineRule="exact"/>
              <w:ind w:hanging="71" w:firstLineChars="0"/>
              <w:rPr>
                <w:rFonts w:ascii="仿宋" w:hAnsi="仿宋" w:eastAsia="仿宋"/>
                <w:sz w:val="24"/>
                <w:szCs w:val="24"/>
              </w:rPr>
            </w:pPr>
            <w:r>
              <w:rPr>
                <w:rFonts w:hint="eastAsia" w:ascii="仿宋" w:hAnsi="仿宋" w:eastAsia="仿宋"/>
                <w:sz w:val="24"/>
                <w:szCs w:val="24"/>
              </w:rPr>
              <w:t>海口美兰国际机场有限责任公司：0</w:t>
            </w:r>
            <w:r>
              <w:rPr>
                <w:rFonts w:ascii="仿宋" w:hAnsi="仿宋" w:eastAsia="仿宋"/>
                <w:sz w:val="24"/>
                <w:szCs w:val="24"/>
              </w:rPr>
              <w:t>-5</w:t>
            </w:r>
            <w:r>
              <w:rPr>
                <w:rFonts w:hint="eastAsia" w:ascii="仿宋" w:hAnsi="仿宋" w:eastAsia="仿宋"/>
                <w:sz w:val="24"/>
                <w:szCs w:val="24"/>
              </w:rPr>
              <w:t>%</w:t>
            </w:r>
          </w:p>
          <w:p>
            <w:pPr>
              <w:pStyle w:val="16"/>
              <w:numPr>
                <w:ilvl w:val="0"/>
                <w:numId w:val="4"/>
              </w:numPr>
              <w:spacing w:line="500" w:lineRule="exact"/>
              <w:ind w:hanging="71" w:firstLineChars="0"/>
              <w:rPr>
                <w:rFonts w:ascii="仿宋" w:hAnsi="仿宋" w:eastAsia="仿宋"/>
                <w:sz w:val="24"/>
                <w:szCs w:val="24"/>
              </w:rPr>
            </w:pPr>
            <w:r>
              <w:rPr>
                <w:rFonts w:hint="eastAsia" w:ascii="仿宋" w:hAnsi="仿宋" w:eastAsia="仿宋"/>
                <w:sz w:val="24"/>
                <w:szCs w:val="24"/>
              </w:rPr>
              <w:t>海南博鳌机场管理有限公司：0</w:t>
            </w:r>
            <w:r>
              <w:rPr>
                <w:rFonts w:ascii="仿宋" w:hAnsi="仿宋" w:eastAsia="仿宋"/>
                <w:sz w:val="24"/>
                <w:szCs w:val="24"/>
              </w:rPr>
              <w:t>-5</w:t>
            </w:r>
            <w:r>
              <w:rPr>
                <w:rFonts w:hint="eastAsia" w:ascii="仿宋" w:hAnsi="仿宋" w:eastAsia="仿宋"/>
                <w:sz w:val="24"/>
                <w:szCs w:val="24"/>
              </w:rPr>
              <w:t>%</w:t>
            </w:r>
          </w:p>
          <w:p>
            <w:pPr>
              <w:pStyle w:val="16"/>
              <w:numPr>
                <w:ilvl w:val="0"/>
                <w:numId w:val="4"/>
              </w:numPr>
              <w:spacing w:line="500" w:lineRule="exact"/>
              <w:ind w:hanging="71" w:firstLineChars="0"/>
              <w:rPr>
                <w:rFonts w:ascii="仿宋" w:hAnsi="仿宋" w:eastAsia="仿宋"/>
                <w:sz w:val="24"/>
                <w:szCs w:val="24"/>
              </w:rPr>
            </w:pPr>
            <w:r>
              <w:rPr>
                <w:rFonts w:hint="eastAsia" w:ascii="仿宋" w:hAnsi="仿宋" w:eastAsia="仿宋"/>
                <w:sz w:val="24"/>
                <w:szCs w:val="24"/>
              </w:rPr>
              <w:t>海南控股：0</w:t>
            </w:r>
            <w:r>
              <w:rPr>
                <w:rFonts w:ascii="仿宋" w:hAnsi="仿宋" w:eastAsia="仿宋"/>
                <w:sz w:val="24"/>
                <w:szCs w:val="24"/>
              </w:rPr>
              <w:t>-5</w:t>
            </w:r>
            <w:r>
              <w:rPr>
                <w:rFonts w:hint="eastAsia" w:ascii="仿宋" w:hAnsi="仿宋" w:eastAsia="仿宋"/>
                <w:sz w:val="24"/>
                <w:szCs w:val="24"/>
              </w:rPr>
              <w:t>%</w:t>
            </w:r>
          </w:p>
          <w:p>
            <w:pPr>
              <w:spacing w:line="500" w:lineRule="exact"/>
              <w:ind w:left="840" w:hanging="491"/>
              <w:rPr>
                <w:rFonts w:ascii="仿宋" w:hAnsi="仿宋" w:eastAsia="仿宋"/>
                <w:sz w:val="24"/>
                <w:szCs w:val="24"/>
              </w:rPr>
            </w:pPr>
            <w:r>
              <w:rPr>
                <w:rFonts w:hint="eastAsia" w:ascii="仿宋" w:hAnsi="仿宋" w:eastAsia="仿宋"/>
                <w:sz w:val="24"/>
                <w:szCs w:val="24"/>
              </w:rPr>
              <w:t>参与集中经营者合计：0</w:t>
            </w:r>
            <w:r>
              <w:rPr>
                <w:rFonts w:ascii="仿宋" w:hAnsi="仿宋" w:eastAsia="仿宋"/>
                <w:sz w:val="24"/>
                <w:szCs w:val="24"/>
              </w:rPr>
              <w:t>-5</w:t>
            </w:r>
            <w:r>
              <w:rPr>
                <w:rFonts w:hint="eastAsia" w:ascii="仿宋" w:hAnsi="仿宋" w:eastAsia="仿宋"/>
                <w:sz w:val="24"/>
                <w:szCs w:val="24"/>
              </w:rPr>
              <w:t>%</w:t>
            </w:r>
          </w:p>
          <w:p>
            <w:pPr>
              <w:spacing w:line="500" w:lineRule="exact"/>
              <w:ind w:left="840" w:hanging="491"/>
              <w:rPr>
                <w:rFonts w:ascii="仿宋" w:hAnsi="仿宋" w:eastAsia="仿宋"/>
                <w:sz w:val="24"/>
                <w:szCs w:val="24"/>
              </w:rPr>
            </w:pPr>
          </w:p>
        </w:tc>
      </w:tr>
    </w:tbl>
    <w:p>
      <w:pPr>
        <w:snapToGrid w:val="0"/>
        <w:spacing w:line="240" w:lineRule="exact"/>
        <w:jc w:val="left"/>
        <w:rPr>
          <w:rFonts w:ascii="仿宋" w:hAnsi="仿宋" w:eastAsia="仿宋"/>
          <w:sz w:val="24"/>
          <w:szCs w:val="24"/>
        </w:rPr>
      </w:pPr>
    </w:p>
    <w:p>
      <w:pPr>
        <w:spacing w:line="360" w:lineRule="auto"/>
        <w:ind w:firstLine="480" w:firstLineChars="200"/>
        <w:rPr>
          <w:rFonts w:ascii="仿宋" w:hAnsi="仿宋" w:eastAsia="仿宋"/>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B57065"/>
    <w:multiLevelType w:val="multilevel"/>
    <w:tmpl w:val="12B57065"/>
    <w:lvl w:ilvl="0" w:tentative="0">
      <w:start w:val="3"/>
      <w:numFmt w:val="bullet"/>
      <w:lvlText w:val="□"/>
      <w:lvlJc w:val="left"/>
      <w:pPr>
        <w:ind w:left="420" w:hanging="420"/>
      </w:pPr>
      <w:rPr>
        <w:rFonts w:hint="eastAsia" w:ascii="仿宋_GB2312" w:hAnsi="Times New Roman" w:eastAsia="仿宋_GB2312"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23B9331E"/>
    <w:multiLevelType w:val="multilevel"/>
    <w:tmpl w:val="23B9331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bullet"/>
      <w:lvlText w:val=""/>
      <w:lvlJc w:val="left"/>
      <w:pPr>
        <w:ind w:left="1260" w:hanging="420"/>
      </w:pPr>
      <w:rPr>
        <w:rFonts w:hint="default" w:ascii="Wingdings" w:hAnsi="Wingdings"/>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53678C1"/>
    <w:multiLevelType w:val="multilevel"/>
    <w:tmpl w:val="453678C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7A3E0156"/>
    <w:multiLevelType w:val="multilevel"/>
    <w:tmpl w:val="7A3E0156"/>
    <w:lvl w:ilvl="0" w:tentative="0">
      <w:start w:val="3"/>
      <w:numFmt w:val="bullet"/>
      <w:lvlText w:val="□"/>
      <w:lvlJc w:val="left"/>
      <w:pPr>
        <w:ind w:left="360" w:hanging="360"/>
      </w:pPr>
      <w:rPr>
        <w:rFonts w:hint="eastAsia" w:ascii="仿宋_GB2312" w:hAnsi="Times New Roman" w:eastAsia="仿宋_GB2312"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3E78"/>
    <w:rsid w:val="000369F8"/>
    <w:rsid w:val="00065BC6"/>
    <w:rsid w:val="00067301"/>
    <w:rsid w:val="00074E77"/>
    <w:rsid w:val="00094095"/>
    <w:rsid w:val="00096726"/>
    <w:rsid w:val="001013C1"/>
    <w:rsid w:val="001036F5"/>
    <w:rsid w:val="0010442E"/>
    <w:rsid w:val="00124D72"/>
    <w:rsid w:val="00131D6A"/>
    <w:rsid w:val="00141637"/>
    <w:rsid w:val="00145146"/>
    <w:rsid w:val="001467E0"/>
    <w:rsid w:val="001544E9"/>
    <w:rsid w:val="00171E1F"/>
    <w:rsid w:val="00183333"/>
    <w:rsid w:val="001A5611"/>
    <w:rsid w:val="001B3AAE"/>
    <w:rsid w:val="001B4DAA"/>
    <w:rsid w:val="002162B9"/>
    <w:rsid w:val="002422A1"/>
    <w:rsid w:val="00245776"/>
    <w:rsid w:val="00257D6A"/>
    <w:rsid w:val="002A4322"/>
    <w:rsid w:val="002F05D1"/>
    <w:rsid w:val="002F2D60"/>
    <w:rsid w:val="00307976"/>
    <w:rsid w:val="00311433"/>
    <w:rsid w:val="00333557"/>
    <w:rsid w:val="00337BFC"/>
    <w:rsid w:val="00375B58"/>
    <w:rsid w:val="003B0BD9"/>
    <w:rsid w:val="003B5048"/>
    <w:rsid w:val="003C4758"/>
    <w:rsid w:val="003E1C38"/>
    <w:rsid w:val="003F24D9"/>
    <w:rsid w:val="00423C81"/>
    <w:rsid w:val="00432650"/>
    <w:rsid w:val="004411EB"/>
    <w:rsid w:val="00460D46"/>
    <w:rsid w:val="00461611"/>
    <w:rsid w:val="00462174"/>
    <w:rsid w:val="004966A4"/>
    <w:rsid w:val="004C6EBC"/>
    <w:rsid w:val="004E278E"/>
    <w:rsid w:val="005124C3"/>
    <w:rsid w:val="005417DB"/>
    <w:rsid w:val="00546663"/>
    <w:rsid w:val="00564E90"/>
    <w:rsid w:val="00567C81"/>
    <w:rsid w:val="00585639"/>
    <w:rsid w:val="005A2E15"/>
    <w:rsid w:val="005C3726"/>
    <w:rsid w:val="005D3DE2"/>
    <w:rsid w:val="005E464A"/>
    <w:rsid w:val="005F167B"/>
    <w:rsid w:val="00605B8E"/>
    <w:rsid w:val="006544B3"/>
    <w:rsid w:val="006618F0"/>
    <w:rsid w:val="0069211D"/>
    <w:rsid w:val="00695858"/>
    <w:rsid w:val="006A01F8"/>
    <w:rsid w:val="006B4579"/>
    <w:rsid w:val="006C5FE4"/>
    <w:rsid w:val="006F1CCB"/>
    <w:rsid w:val="006F394A"/>
    <w:rsid w:val="007125A4"/>
    <w:rsid w:val="007372A5"/>
    <w:rsid w:val="00747A95"/>
    <w:rsid w:val="007746D2"/>
    <w:rsid w:val="00782AFE"/>
    <w:rsid w:val="00787D47"/>
    <w:rsid w:val="00795FD8"/>
    <w:rsid w:val="007B0374"/>
    <w:rsid w:val="007C30A4"/>
    <w:rsid w:val="007C7849"/>
    <w:rsid w:val="007D4228"/>
    <w:rsid w:val="008156C3"/>
    <w:rsid w:val="00816F25"/>
    <w:rsid w:val="00835B3B"/>
    <w:rsid w:val="00846B70"/>
    <w:rsid w:val="008524D7"/>
    <w:rsid w:val="008652F5"/>
    <w:rsid w:val="00871A08"/>
    <w:rsid w:val="00873CC1"/>
    <w:rsid w:val="0087642D"/>
    <w:rsid w:val="0089199D"/>
    <w:rsid w:val="00894B41"/>
    <w:rsid w:val="008962CC"/>
    <w:rsid w:val="008A2EC7"/>
    <w:rsid w:val="008F1498"/>
    <w:rsid w:val="008F6365"/>
    <w:rsid w:val="00920AFB"/>
    <w:rsid w:val="009417C3"/>
    <w:rsid w:val="009862A7"/>
    <w:rsid w:val="00995A78"/>
    <w:rsid w:val="009E367A"/>
    <w:rsid w:val="009E712A"/>
    <w:rsid w:val="00A1047A"/>
    <w:rsid w:val="00A4214D"/>
    <w:rsid w:val="00A5589B"/>
    <w:rsid w:val="00A573E1"/>
    <w:rsid w:val="00A722BD"/>
    <w:rsid w:val="00A828F8"/>
    <w:rsid w:val="00A964F7"/>
    <w:rsid w:val="00AC4158"/>
    <w:rsid w:val="00AC7600"/>
    <w:rsid w:val="00AF3FC4"/>
    <w:rsid w:val="00B33502"/>
    <w:rsid w:val="00B5418E"/>
    <w:rsid w:val="00B769C4"/>
    <w:rsid w:val="00BA0750"/>
    <w:rsid w:val="00BA344A"/>
    <w:rsid w:val="00BB029F"/>
    <w:rsid w:val="00BB2377"/>
    <w:rsid w:val="00BD1476"/>
    <w:rsid w:val="00BD2952"/>
    <w:rsid w:val="00BD3317"/>
    <w:rsid w:val="00C1366C"/>
    <w:rsid w:val="00C16DCA"/>
    <w:rsid w:val="00C354C8"/>
    <w:rsid w:val="00C36027"/>
    <w:rsid w:val="00C575EE"/>
    <w:rsid w:val="00C73020"/>
    <w:rsid w:val="00C85E3C"/>
    <w:rsid w:val="00C9068E"/>
    <w:rsid w:val="00C95AE7"/>
    <w:rsid w:val="00CD7BEB"/>
    <w:rsid w:val="00CE12AD"/>
    <w:rsid w:val="00D000C7"/>
    <w:rsid w:val="00D03534"/>
    <w:rsid w:val="00D17A3D"/>
    <w:rsid w:val="00D21019"/>
    <w:rsid w:val="00D21777"/>
    <w:rsid w:val="00D44CA3"/>
    <w:rsid w:val="00D55FF5"/>
    <w:rsid w:val="00D66E1F"/>
    <w:rsid w:val="00D85012"/>
    <w:rsid w:val="00DB7ADF"/>
    <w:rsid w:val="00DE40CB"/>
    <w:rsid w:val="00DE6B4D"/>
    <w:rsid w:val="00DF0BD6"/>
    <w:rsid w:val="00E40723"/>
    <w:rsid w:val="00E41BC0"/>
    <w:rsid w:val="00E84FE3"/>
    <w:rsid w:val="00E92B7D"/>
    <w:rsid w:val="00EC6DC0"/>
    <w:rsid w:val="00ED21B1"/>
    <w:rsid w:val="00ED5135"/>
    <w:rsid w:val="00ED7003"/>
    <w:rsid w:val="00EE204E"/>
    <w:rsid w:val="00EF5BA9"/>
    <w:rsid w:val="00F002CA"/>
    <w:rsid w:val="00F10B43"/>
    <w:rsid w:val="00F26500"/>
    <w:rsid w:val="00F6282F"/>
    <w:rsid w:val="00F87C1F"/>
    <w:rsid w:val="00FA2695"/>
    <w:rsid w:val="00FB4CD1"/>
    <w:rsid w:val="00FC6D76"/>
    <w:rsid w:val="00FE7060"/>
    <w:rsid w:val="12C7631F"/>
    <w:rsid w:val="5F69574D"/>
    <w:rsid w:val="5F77B679"/>
    <w:rsid w:val="67A10EE8"/>
    <w:rsid w:val="EFDD2D50"/>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endnote text"/>
    <w:basedOn w:val="1"/>
    <w:link w:val="12"/>
    <w:semiHidden/>
    <w:unhideWhenUsed/>
    <w:qFormat/>
    <w:uiPriority w:val="99"/>
    <w:pPr>
      <w:snapToGrid w:val="0"/>
      <w:jc w:val="left"/>
    </w:p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ndnote reference"/>
    <w:semiHidden/>
    <w:unhideWhenUsed/>
    <w:qFormat/>
    <w:uiPriority w:val="99"/>
    <w:rPr>
      <w:vertAlign w:val="superscript"/>
    </w:rPr>
  </w:style>
  <w:style w:type="character" w:styleId="11">
    <w:name w:val="annotation reference"/>
    <w:basedOn w:val="9"/>
    <w:semiHidden/>
    <w:unhideWhenUsed/>
    <w:qFormat/>
    <w:uiPriority w:val="99"/>
    <w:rPr>
      <w:sz w:val="21"/>
      <w:szCs w:val="21"/>
    </w:rPr>
  </w:style>
  <w:style w:type="character" w:customStyle="1" w:styleId="12">
    <w:name w:val="尾注文本 字符"/>
    <w:basedOn w:val="9"/>
    <w:link w:val="3"/>
    <w:semiHidden/>
    <w:qFormat/>
    <w:uiPriority w:val="99"/>
  </w:style>
  <w:style w:type="character" w:customStyle="1" w:styleId="13">
    <w:name w:val="页眉 字符"/>
    <w:link w:val="6"/>
    <w:qFormat/>
    <w:uiPriority w:val="99"/>
    <w:rPr>
      <w:sz w:val="18"/>
      <w:szCs w:val="18"/>
    </w:rPr>
  </w:style>
  <w:style w:type="character" w:customStyle="1" w:styleId="14">
    <w:name w:val="页脚 字符"/>
    <w:link w:val="5"/>
    <w:qFormat/>
    <w:uiPriority w:val="99"/>
    <w:rPr>
      <w:sz w:val="18"/>
      <w:szCs w:val="18"/>
    </w:rPr>
  </w:style>
  <w:style w:type="character" w:customStyle="1" w:styleId="15">
    <w:name w:val="批注框文本 字符"/>
    <w:basedOn w:val="9"/>
    <w:link w:val="4"/>
    <w:semiHidden/>
    <w:qFormat/>
    <w:uiPriority w:val="99"/>
    <w:rPr>
      <w:kern w:val="2"/>
      <w:sz w:val="18"/>
      <w:szCs w:val="18"/>
    </w:rPr>
  </w:style>
  <w:style w:type="paragraph" w:styleId="1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Zhong Lun Law Firm</Company>
  <Pages>3</Pages>
  <Words>186</Words>
  <Characters>1066</Characters>
  <Lines>8</Lines>
  <Paragraphs>2</Paragraphs>
  <TotalTime>2</TotalTime>
  <ScaleCrop>false</ScaleCrop>
  <LinksUpToDate>false</LinksUpToDate>
  <CharactersWithSpaces>1250</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2021-10-29T10:45:00Z</dcterms:created>
  <dc:creator>dell</dc:creator>
  <cp:lastModifiedBy>万广亮</cp:lastModifiedBy>
  <cp:lastPrinted>2014-10-08T18:48:00Z</cp:lastPrinted>
  <dcterms:modified xsi:type="dcterms:W3CDTF">2021-10-29T06:57:59Z</dcterms:modified>
  <dc:title>经营者集中简易案件公示表</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