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before="100" w:beforeAutospacing="1" w:after="100" w:afterAutospacing="1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经营者集中简易案件公示表</w:t>
      </w:r>
    </w:p>
    <w:tbl>
      <w:tblPr>
        <w:tblStyle w:val="5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bCs/>
                <w:sz w:val="24"/>
                <w:szCs w:val="24"/>
              </w:rPr>
              <w:t>SK资本第五投资有限责任公司收购</w:t>
            </w:r>
            <w:r>
              <w:rPr>
                <w:rFonts w:hint="eastAsia" w:ascii="Times New Roman" w:hAnsi="Times New Roman"/>
                <w:bCs/>
                <w:sz w:val="24"/>
                <w:szCs w:val="24"/>
                <w:lang w:val="en-US" w:eastAsia="zh-CN"/>
              </w:rPr>
              <w:t>西昆士</w:t>
            </w:r>
            <w:r>
              <w:rPr>
                <w:rFonts w:hint="eastAsia" w:ascii="Times New Roman" w:hAnsi="Times New Roman"/>
                <w:bCs/>
                <w:sz w:val="24"/>
                <w:szCs w:val="24"/>
              </w:rPr>
              <w:t>集团控股有限责任公司（Seqens Group Holding）股权案（“</w:t>
            </w:r>
            <w:r>
              <w:rPr>
                <w:rFonts w:hint="eastAsia" w:ascii="Times New Roman" w:hAnsi="Times New Roman"/>
                <w:b/>
                <w:sz w:val="24"/>
                <w:szCs w:val="24"/>
              </w:rPr>
              <w:t>本交易</w:t>
            </w:r>
            <w:r>
              <w:rPr>
                <w:rFonts w:hint="eastAsia" w:ascii="Times New Roman" w:hAnsi="Times New Roman"/>
                <w:bCs/>
                <w:sz w:val="24"/>
                <w:szCs w:val="24"/>
              </w:rPr>
              <w:t>”）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kern w:val="0"/>
                <w:sz w:val="24"/>
                <w:szCs w:val="24"/>
              </w:rPr>
              <w:t>交易概况</w:t>
            </w:r>
          </w:p>
          <w:p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b/>
                <w:kern w:val="0"/>
                <w:sz w:val="24"/>
                <w:szCs w:val="24"/>
              </w:rPr>
              <w:t>（限</w:t>
            </w:r>
            <w:r>
              <w:rPr>
                <w:rFonts w:ascii="Times New Roman" w:hAnsi="Times New Roman"/>
                <w:b/>
                <w:kern w:val="0"/>
                <w:sz w:val="24"/>
                <w:szCs w:val="24"/>
              </w:rPr>
              <w:t>200</w:t>
            </w:r>
            <w:r>
              <w:rPr>
                <w:rFonts w:hint="eastAsia" w:ascii="Times New Roman" w:hAnsi="Times New Roman"/>
                <w:b/>
                <w:kern w:val="0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>
            <w:pPr>
              <w:snapToGrid w:val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/>
                <w:bCs/>
                <w:sz w:val="24"/>
                <w:szCs w:val="24"/>
              </w:rPr>
              <w:t>本交易涉及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SK Grand Prix</w:t>
            </w:r>
            <w:r>
              <w:rPr>
                <w:rFonts w:hint="eastAsia" w:ascii="Times New Roman" w:hAnsi="Times New Roman"/>
                <w:bCs/>
                <w:sz w:val="24"/>
                <w:szCs w:val="24"/>
              </w:rPr>
              <w:t>控股有限合伙（由SK资本第五投资有限责任公司控制）收购</w:t>
            </w:r>
            <w:r>
              <w:rPr>
                <w:rFonts w:hint="eastAsia" w:ascii="Times New Roman" w:hAnsi="Times New Roman"/>
                <w:bCs/>
                <w:sz w:val="24"/>
                <w:szCs w:val="24"/>
                <w:lang w:val="en-US" w:eastAsia="zh-CN"/>
              </w:rPr>
              <w:t>西昆士</w:t>
            </w:r>
            <w:r>
              <w:rPr>
                <w:rFonts w:hint="eastAsia" w:ascii="Times New Roman" w:hAnsi="Times New Roman"/>
                <w:bCs/>
                <w:sz w:val="24"/>
                <w:szCs w:val="24"/>
              </w:rPr>
              <w:t>集团控股有限责任公司（Seqens Group Holding）及其子公司的股权及单独控制权。本交易后，</w:t>
            </w:r>
            <w:r>
              <w:rPr>
                <w:rFonts w:hint="eastAsia" w:ascii="Times New Roman" w:hAnsi="Times New Roman"/>
                <w:bCs/>
                <w:sz w:val="24"/>
                <w:szCs w:val="24"/>
                <w:lang w:val="en-US" w:eastAsia="zh-CN"/>
              </w:rPr>
              <w:t>西昆士</w:t>
            </w:r>
            <w:r>
              <w:rPr>
                <w:rFonts w:hint="eastAsia" w:ascii="Times New Roman" w:hAnsi="Times New Roman"/>
                <w:bCs/>
                <w:sz w:val="24"/>
                <w:szCs w:val="24"/>
              </w:rPr>
              <w:t>集团控股有限责任公司及其子公司将由SK资本第五投资有限责任公司控制。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kern w:val="0"/>
                <w:sz w:val="24"/>
                <w:szCs w:val="24"/>
              </w:rPr>
              <w:t>参与集中的</w:t>
            </w:r>
          </w:p>
          <w:p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b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1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、</w:t>
            </w:r>
            <w:r>
              <w:rPr>
                <w:rFonts w:hint="eastAsia" w:ascii="Times New Roman" w:hAnsi="Times New Roman"/>
                <w:bCs/>
                <w:sz w:val="24"/>
                <w:szCs w:val="24"/>
              </w:rPr>
              <w:t>SK资本第五投资有限责任公司</w:t>
            </w:r>
          </w:p>
        </w:tc>
        <w:tc>
          <w:tcPr>
            <w:tcW w:w="5153" w:type="dxa"/>
          </w:tcPr>
          <w:p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bCs/>
                <w:sz w:val="24"/>
                <w:szCs w:val="24"/>
              </w:rPr>
              <w:t>SK资本第五投资有限责任公司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是SK资本合伙有限合伙投资基金的间接控制实体。此类投资基金仅持有投资，除持有和管理投资外并不从事任何实质性业务。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8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2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、</w:t>
            </w:r>
            <w:r>
              <w:rPr>
                <w:rFonts w:hint="eastAsia" w:ascii="Times New Roman" w:hAnsi="Times New Roman"/>
                <w:bCs/>
                <w:sz w:val="24"/>
                <w:szCs w:val="24"/>
                <w:lang w:val="en-US" w:eastAsia="zh-CN"/>
              </w:rPr>
              <w:t>西昆士</w:t>
            </w:r>
            <w:r>
              <w:rPr>
                <w:rFonts w:hint="eastAsia" w:ascii="Times New Roman" w:hAnsi="Times New Roman"/>
                <w:bCs/>
                <w:sz w:val="24"/>
                <w:szCs w:val="24"/>
              </w:rPr>
              <w:t>集团控股有限责任公司（Seqens Group Holding）</w:t>
            </w:r>
          </w:p>
        </w:tc>
        <w:tc>
          <w:tcPr>
            <w:tcW w:w="5153" w:type="dxa"/>
          </w:tcPr>
          <w:p>
            <w:pPr>
              <w:snapToGrid w:val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/>
                <w:bCs/>
                <w:sz w:val="24"/>
                <w:szCs w:val="24"/>
                <w:lang w:val="en-US" w:eastAsia="zh-CN"/>
              </w:rPr>
              <w:t>西昆士</w:t>
            </w:r>
            <w:r>
              <w:rPr>
                <w:rFonts w:hint="eastAsia" w:ascii="Times New Roman" w:hAnsi="Times New Roman"/>
                <w:bCs/>
                <w:sz w:val="24"/>
                <w:szCs w:val="24"/>
              </w:rPr>
              <w:t>集团控股有限责任公司（Seqens Group Holding）是一家总部位于法国里昂的法国公司，其通过子公司生产和供应在日常产品中使用的广泛基础化学品、医药解决方案和特殊成分。</w:t>
            </w:r>
          </w:p>
          <w:p>
            <w:pPr>
              <w:snapToGrid w:val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bCs/>
                <w:sz w:val="24"/>
                <w:szCs w:val="24"/>
              </w:rPr>
              <w:t>关于</w:t>
            </w:r>
            <w:r>
              <w:rPr>
                <w:rFonts w:hint="eastAsia" w:ascii="Times New Roman" w:hAnsi="Times New Roman"/>
                <w:bCs/>
                <w:sz w:val="24"/>
                <w:szCs w:val="24"/>
                <w:lang w:val="en-US" w:eastAsia="zh-CN"/>
              </w:rPr>
              <w:t>西昆士</w:t>
            </w:r>
            <w:r>
              <w:rPr>
                <w:rFonts w:hint="eastAsia" w:ascii="Times New Roman" w:hAnsi="Times New Roman"/>
                <w:bCs/>
                <w:sz w:val="24"/>
                <w:szCs w:val="24"/>
              </w:rPr>
              <w:t>的更多信息，请见：</w:t>
            </w:r>
            <w:r>
              <w:fldChar w:fldCharType="begin"/>
            </w:r>
            <w:r>
              <w:instrText xml:space="preserve"> HYPERLINK "https://www.seqens.com/en/" </w:instrText>
            </w:r>
            <w:r>
              <w:fldChar w:fldCharType="separate"/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https://www.seqens.com/en/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Times New Roman" w:hAnsi="Times New Roman"/>
                <w:bCs/>
                <w:sz w:val="24"/>
                <w:szCs w:val="24"/>
              </w:rPr>
              <w:t xml:space="preserve">。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1.在同一相关市场，所有参与集中的经营者所占市场份额之和小于15%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□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2.存在上下游关系的参与集中的经营者，在上下游市场所占的市场份额均小于25%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□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3.不在同一相关市场、也不存在上下游关系的参与集中的经营者，在与交易有关的每个市场所占的份额均小于25%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□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□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5.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□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6.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pStyle w:val="13"/>
              <w:numPr>
                <w:ilvl w:val="0"/>
                <w:numId w:val="1"/>
              </w:numPr>
              <w:ind w:left="420" w:leftChars="0" w:hanging="420" w:firstLineChars="0"/>
              <w:rPr>
                <w:rFonts w:eastAsia="宋体"/>
                <w:b/>
                <w:sz w:val="24"/>
                <w:szCs w:val="24"/>
              </w:rPr>
            </w:pPr>
            <w:bookmarkStart w:id="0" w:name="OLE_LINK5"/>
            <w:bookmarkStart w:id="1" w:name="OLE_LINK6"/>
            <w:r>
              <w:rPr>
                <w:rFonts w:eastAsia="宋体"/>
                <w:b/>
                <w:sz w:val="24"/>
                <w:szCs w:val="24"/>
              </w:rPr>
              <w:t>原料药合同开发</w:t>
            </w:r>
            <w:r>
              <w:rPr>
                <w:rFonts w:hint="eastAsia" w:eastAsia="宋体"/>
                <w:b/>
                <w:sz w:val="24"/>
                <w:szCs w:val="24"/>
                <w:lang w:val="en-US" w:eastAsia="zh-CN"/>
              </w:rPr>
              <w:t>生产</w:t>
            </w:r>
            <w:r>
              <w:rPr>
                <w:rFonts w:eastAsia="宋体"/>
                <w:b/>
                <w:sz w:val="24"/>
                <w:szCs w:val="24"/>
              </w:rPr>
              <w:t>服务市场：</w:t>
            </w:r>
          </w:p>
          <w:p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相关商品市场：</w:t>
            </w:r>
            <w:r>
              <w:rPr>
                <w:rFonts w:eastAsia="宋体"/>
                <w:b w:val="0"/>
                <w:bCs/>
                <w:sz w:val="24"/>
                <w:szCs w:val="24"/>
              </w:rPr>
              <w:t>原料药合同开发</w:t>
            </w:r>
            <w:r>
              <w:rPr>
                <w:rFonts w:hint="eastAsia" w:eastAsia="宋体"/>
                <w:b w:val="0"/>
                <w:bCs/>
                <w:sz w:val="24"/>
                <w:szCs w:val="24"/>
                <w:lang w:val="en-US" w:eastAsia="zh-CN"/>
              </w:rPr>
              <w:t>生产</w:t>
            </w:r>
            <w:r>
              <w:rPr>
                <w:rFonts w:eastAsia="宋体"/>
                <w:b w:val="0"/>
                <w:bCs/>
                <w:sz w:val="24"/>
                <w:szCs w:val="24"/>
              </w:rPr>
              <w:t>服务市场</w:t>
            </w:r>
          </w:p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相关地域市场：全球</w:t>
            </w:r>
          </w:p>
          <w:p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/>
                <w:bCs/>
                <w:sz w:val="24"/>
                <w:szCs w:val="24"/>
              </w:rPr>
              <w:t>市场份额：</w:t>
            </w:r>
          </w:p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SK资本第五投资有限责任公司：</w:t>
            </w:r>
            <w:r>
              <w:rPr>
                <w:rFonts w:ascii="Times New Roman" w:hAnsi="Times New Roman"/>
                <w:sz w:val="24"/>
                <w:szCs w:val="24"/>
              </w:rPr>
              <w:t>【0-5】%；</w:t>
            </w:r>
          </w:p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bCs/>
                <w:sz w:val="24"/>
                <w:szCs w:val="24"/>
                <w:lang w:val="en-US" w:eastAsia="zh-CN"/>
              </w:rPr>
              <w:t>西昆士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集团控股有限责任公司（Seqens Group Holding）：</w:t>
            </w:r>
            <w:r>
              <w:rPr>
                <w:rFonts w:ascii="Times New Roman" w:hAnsi="Times New Roman"/>
                <w:sz w:val="24"/>
                <w:szCs w:val="24"/>
              </w:rPr>
              <w:t>【0-5】%；</w:t>
            </w:r>
          </w:p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合并：【0-5】%</w:t>
            </w:r>
          </w:p>
          <w:p>
            <w:pPr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pStyle w:val="13"/>
              <w:numPr>
                <w:ilvl w:val="0"/>
                <w:numId w:val="1"/>
              </w:numPr>
              <w:ind w:left="420" w:leftChars="0" w:hanging="420" w:firstLineChars="0"/>
              <w:rPr>
                <w:rFonts w:eastAsia="宋体"/>
                <w:b/>
                <w:sz w:val="24"/>
                <w:szCs w:val="24"/>
              </w:rPr>
            </w:pPr>
            <w:r>
              <w:rPr>
                <w:rFonts w:eastAsia="宋体"/>
                <w:b/>
                <w:sz w:val="24"/>
                <w:szCs w:val="24"/>
              </w:rPr>
              <w:t>润滑油添加剂市场：</w:t>
            </w:r>
          </w:p>
          <w:p>
            <w:pPr>
              <w:pStyle w:val="13"/>
              <w:ind w:left="720" w:firstLine="0" w:firstLineChars="0"/>
              <w:rPr>
                <w:rFonts w:eastAsia="宋体"/>
                <w:b/>
                <w:sz w:val="24"/>
                <w:szCs w:val="24"/>
              </w:rPr>
            </w:pPr>
          </w:p>
          <w:p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相关商品市场：</w:t>
            </w:r>
            <w:r>
              <w:rPr>
                <w:rFonts w:ascii="Times New Roman" w:hAnsi="Times New Roman"/>
                <w:sz w:val="24"/>
                <w:szCs w:val="24"/>
              </w:rPr>
              <w:t>润滑油添加剂市场</w:t>
            </w:r>
          </w:p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相关地域市场：全球</w:t>
            </w:r>
          </w:p>
          <w:p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bookmarkStart w:id="2" w:name="_GoBack"/>
            <w:bookmarkEnd w:id="2"/>
            <w:r>
              <w:rPr>
                <w:rFonts w:hint="eastAsia" w:ascii="Times New Roman" w:hAnsi="Times New Roman"/>
                <w:bCs/>
                <w:sz w:val="24"/>
                <w:szCs w:val="24"/>
              </w:rPr>
              <w:t>市场份额：</w:t>
            </w:r>
          </w:p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SK资本第五投资有限责任公司：</w:t>
            </w:r>
            <w:r>
              <w:rPr>
                <w:rFonts w:ascii="Times New Roman" w:hAnsi="Times New Roman"/>
                <w:sz w:val="24"/>
                <w:szCs w:val="24"/>
              </w:rPr>
              <w:t>【0-5】%；</w:t>
            </w:r>
          </w:p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bCs/>
                <w:sz w:val="24"/>
                <w:szCs w:val="24"/>
                <w:lang w:val="en-US" w:eastAsia="zh-CN"/>
              </w:rPr>
              <w:t>西昆士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集团控股有限责任公司（Seqens Group Holding）：</w:t>
            </w:r>
            <w:r>
              <w:rPr>
                <w:rFonts w:ascii="Times New Roman" w:hAnsi="Times New Roman"/>
                <w:sz w:val="24"/>
                <w:szCs w:val="24"/>
              </w:rPr>
              <w:t>【0-5】%；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合并：【0-5】%</w:t>
            </w:r>
            <w:bookmarkEnd w:id="0"/>
            <w:bookmarkEnd w:id="1"/>
          </w:p>
        </w:tc>
      </w:tr>
    </w:tbl>
    <w:p>
      <w:pPr>
        <w:spacing w:line="20" w:lineRule="exact"/>
        <w:rPr>
          <w:rFonts w:ascii="Times New Roman" w:hAnsi="Times New Roman"/>
          <w:sz w:val="24"/>
          <w:szCs w:val="24"/>
        </w:rPr>
      </w:pPr>
    </w:p>
    <w:p>
      <w:pPr>
        <w:spacing w:line="20" w:lineRule="exact"/>
        <w:rPr>
          <w:rFonts w:ascii="Times New Roman" w:hAnsi="Times New Roman"/>
          <w:sz w:val="24"/>
          <w:szCs w:val="24"/>
        </w:rPr>
      </w:pPr>
    </w:p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8"/>
        <w:rFonts w:ascii="Times New Roman" w:hAnsi="Times New Roman"/>
      </w:rPr>
      <w:id w:val="-275023100"/>
      <w:docPartObj>
        <w:docPartGallery w:val="autotext"/>
      </w:docPartObj>
    </w:sdtPr>
    <w:sdtEndPr>
      <w:rPr>
        <w:rStyle w:val="8"/>
        <w:rFonts w:ascii="Times New Roman" w:hAnsi="Times New Roman"/>
      </w:rPr>
    </w:sdtEndPr>
    <w:sdtContent>
      <w:p>
        <w:pPr>
          <w:pStyle w:val="3"/>
          <w:framePr w:wrap="auto" w:vAnchor="text" w:hAnchor="margin" w:xAlign="center" w:yAlign="inside"/>
          <w:rPr>
            <w:rStyle w:val="8"/>
            <w:rFonts w:ascii="Times New Roman" w:hAnsi="Times New Roman"/>
          </w:rPr>
        </w:pPr>
        <w:r>
          <w:rPr>
            <w:rStyle w:val="8"/>
            <w:rFonts w:ascii="Times New Roman" w:hAnsi="Times New Roman"/>
          </w:rPr>
          <w:fldChar w:fldCharType="begin"/>
        </w:r>
        <w:r>
          <w:rPr>
            <w:rStyle w:val="8"/>
            <w:rFonts w:ascii="Times New Roman" w:hAnsi="Times New Roman"/>
          </w:rPr>
          <w:instrText xml:space="preserve"> PAGE </w:instrText>
        </w:r>
        <w:r>
          <w:rPr>
            <w:rStyle w:val="8"/>
            <w:rFonts w:ascii="Times New Roman" w:hAnsi="Times New Roman"/>
          </w:rPr>
          <w:fldChar w:fldCharType="separate"/>
        </w:r>
        <w:r>
          <w:rPr>
            <w:rStyle w:val="8"/>
            <w:rFonts w:ascii="Times New Roman" w:hAnsi="Times New Roman"/>
          </w:rPr>
          <w:t>2</w:t>
        </w:r>
        <w:r>
          <w:rPr>
            <w:rStyle w:val="8"/>
            <w:rFonts w:ascii="Times New Roman" w:hAnsi="Times New Roman"/>
          </w:rPr>
          <w:fldChar w:fldCharType="end"/>
        </w:r>
      </w:p>
    </w:sdtContent>
  </w:sdt>
  <w:p>
    <w:pPr>
      <w:pStyle w:val="3"/>
      <w:rPr>
        <w:rFonts w:ascii="Times New Roman" w:hAnsi="Times New Roman"/>
      </w:rPr>
    </w:pPr>
  </w:p>
  <w:p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8"/>
      </w:rPr>
      <w:id w:val="1036383314"/>
      <w:docPartObj>
        <w:docPartGallery w:val="autotext"/>
      </w:docPartObj>
    </w:sdtPr>
    <w:sdtEndPr>
      <w:rPr>
        <w:rStyle w:val="8"/>
      </w:rPr>
    </w:sdtEndPr>
    <w:sdtContent>
      <w:p>
        <w:pPr>
          <w:pStyle w:val="3"/>
          <w:framePr w:wrap="auto" w:vAnchor="text" w:hAnchor="margin" w:xAlign="center" w:y="1"/>
          <w:rPr>
            <w:rStyle w:val="8"/>
          </w:rPr>
        </w:pPr>
        <w:r>
          <w:rPr>
            <w:rStyle w:val="8"/>
          </w:rPr>
          <w:fldChar w:fldCharType="begin"/>
        </w:r>
        <w:r>
          <w:rPr>
            <w:rStyle w:val="8"/>
          </w:rPr>
          <w:instrText xml:space="preserve"> PAGE </w:instrText>
        </w:r>
        <w:r>
          <w:rPr>
            <w:rStyle w:val="8"/>
          </w:rPr>
          <w:fldChar w:fldCharType="end"/>
        </w:r>
      </w:p>
    </w:sdtContent>
  </w:sdt>
  <w:p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0E414C"/>
    <w:multiLevelType w:val="multilevel"/>
    <w:tmpl w:val="160E414C"/>
    <w:lvl w:ilvl="0" w:tentative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M3NzI2NTc1NjAxNDRS0lEKTi0uzszPAykwrAUAT46O3CwAAAA="/>
  </w:docVars>
  <w:rsids>
    <w:rsidRoot w:val="00CB00DF"/>
    <w:rsid w:val="000008A2"/>
    <w:rsid w:val="000108C5"/>
    <w:rsid w:val="00015F7E"/>
    <w:rsid w:val="00023448"/>
    <w:rsid w:val="00037065"/>
    <w:rsid w:val="00040B9C"/>
    <w:rsid w:val="00044820"/>
    <w:rsid w:val="000510C8"/>
    <w:rsid w:val="00056576"/>
    <w:rsid w:val="000805A7"/>
    <w:rsid w:val="0008285B"/>
    <w:rsid w:val="000A1753"/>
    <w:rsid w:val="000B0953"/>
    <w:rsid w:val="000B1EFE"/>
    <w:rsid w:val="000B395A"/>
    <w:rsid w:val="000D4BD1"/>
    <w:rsid w:val="000D7EBA"/>
    <w:rsid w:val="001074DB"/>
    <w:rsid w:val="001164CD"/>
    <w:rsid w:val="00116F01"/>
    <w:rsid w:val="001314CA"/>
    <w:rsid w:val="00141AA1"/>
    <w:rsid w:val="00155717"/>
    <w:rsid w:val="00156F76"/>
    <w:rsid w:val="00182C7B"/>
    <w:rsid w:val="001837A3"/>
    <w:rsid w:val="00187D5C"/>
    <w:rsid w:val="00193278"/>
    <w:rsid w:val="00193BC9"/>
    <w:rsid w:val="00196D5E"/>
    <w:rsid w:val="001A220F"/>
    <w:rsid w:val="001A4FCF"/>
    <w:rsid w:val="001C59B2"/>
    <w:rsid w:val="001D6662"/>
    <w:rsid w:val="001E7167"/>
    <w:rsid w:val="001F1F55"/>
    <w:rsid w:val="0021315C"/>
    <w:rsid w:val="0023690F"/>
    <w:rsid w:val="00245E8F"/>
    <w:rsid w:val="002500FA"/>
    <w:rsid w:val="00261C58"/>
    <w:rsid w:val="00262C69"/>
    <w:rsid w:val="002665EA"/>
    <w:rsid w:val="00271F00"/>
    <w:rsid w:val="002756C0"/>
    <w:rsid w:val="002840F8"/>
    <w:rsid w:val="0028527F"/>
    <w:rsid w:val="00287F20"/>
    <w:rsid w:val="00291EF1"/>
    <w:rsid w:val="002B19C8"/>
    <w:rsid w:val="002D0F1A"/>
    <w:rsid w:val="00306520"/>
    <w:rsid w:val="00310D7A"/>
    <w:rsid w:val="00330E53"/>
    <w:rsid w:val="00364ED5"/>
    <w:rsid w:val="00376EF3"/>
    <w:rsid w:val="003928E3"/>
    <w:rsid w:val="003C0AEB"/>
    <w:rsid w:val="003C575D"/>
    <w:rsid w:val="003D13C3"/>
    <w:rsid w:val="003D33C2"/>
    <w:rsid w:val="003D7240"/>
    <w:rsid w:val="003E7483"/>
    <w:rsid w:val="003F0F68"/>
    <w:rsid w:val="00403238"/>
    <w:rsid w:val="004063A2"/>
    <w:rsid w:val="00410232"/>
    <w:rsid w:val="004402CC"/>
    <w:rsid w:val="00460715"/>
    <w:rsid w:val="004711C5"/>
    <w:rsid w:val="004958E7"/>
    <w:rsid w:val="004A7AB3"/>
    <w:rsid w:val="004B27C8"/>
    <w:rsid w:val="004C2A4E"/>
    <w:rsid w:val="004C73C2"/>
    <w:rsid w:val="004F0B1D"/>
    <w:rsid w:val="004F173B"/>
    <w:rsid w:val="004F7688"/>
    <w:rsid w:val="00501C72"/>
    <w:rsid w:val="005021B7"/>
    <w:rsid w:val="00507846"/>
    <w:rsid w:val="00526688"/>
    <w:rsid w:val="00527F83"/>
    <w:rsid w:val="00546F6E"/>
    <w:rsid w:val="00555877"/>
    <w:rsid w:val="00565D2C"/>
    <w:rsid w:val="00574E95"/>
    <w:rsid w:val="00590F14"/>
    <w:rsid w:val="005A0430"/>
    <w:rsid w:val="005A5BEE"/>
    <w:rsid w:val="005B3D19"/>
    <w:rsid w:val="005C19BE"/>
    <w:rsid w:val="005C480C"/>
    <w:rsid w:val="005C6BB8"/>
    <w:rsid w:val="005E03E0"/>
    <w:rsid w:val="005F3D2C"/>
    <w:rsid w:val="006064BD"/>
    <w:rsid w:val="00613926"/>
    <w:rsid w:val="00630E72"/>
    <w:rsid w:val="006344D5"/>
    <w:rsid w:val="00643117"/>
    <w:rsid w:val="006451FC"/>
    <w:rsid w:val="006467D8"/>
    <w:rsid w:val="00652DFD"/>
    <w:rsid w:val="00655A3B"/>
    <w:rsid w:val="006613CF"/>
    <w:rsid w:val="00661A6A"/>
    <w:rsid w:val="00664EE8"/>
    <w:rsid w:val="0067606A"/>
    <w:rsid w:val="00677C08"/>
    <w:rsid w:val="006A531B"/>
    <w:rsid w:val="006D0C1D"/>
    <w:rsid w:val="006E0315"/>
    <w:rsid w:val="006E090A"/>
    <w:rsid w:val="006E7350"/>
    <w:rsid w:val="006F7693"/>
    <w:rsid w:val="00710140"/>
    <w:rsid w:val="00716850"/>
    <w:rsid w:val="007223CC"/>
    <w:rsid w:val="0073391A"/>
    <w:rsid w:val="00750E69"/>
    <w:rsid w:val="00760B82"/>
    <w:rsid w:val="00764159"/>
    <w:rsid w:val="00770406"/>
    <w:rsid w:val="0079392B"/>
    <w:rsid w:val="007979C0"/>
    <w:rsid w:val="007A505D"/>
    <w:rsid w:val="007A5134"/>
    <w:rsid w:val="007B0601"/>
    <w:rsid w:val="007B1376"/>
    <w:rsid w:val="007C1F1C"/>
    <w:rsid w:val="007C318E"/>
    <w:rsid w:val="007C3E2F"/>
    <w:rsid w:val="007E3AA2"/>
    <w:rsid w:val="007F2275"/>
    <w:rsid w:val="00826D44"/>
    <w:rsid w:val="008549DE"/>
    <w:rsid w:val="00863DD9"/>
    <w:rsid w:val="00867F3F"/>
    <w:rsid w:val="00875D3B"/>
    <w:rsid w:val="008811CF"/>
    <w:rsid w:val="008E1316"/>
    <w:rsid w:val="00900674"/>
    <w:rsid w:val="00914C14"/>
    <w:rsid w:val="00915F0F"/>
    <w:rsid w:val="00924580"/>
    <w:rsid w:val="0092566D"/>
    <w:rsid w:val="00940FA2"/>
    <w:rsid w:val="009532DF"/>
    <w:rsid w:val="00964B66"/>
    <w:rsid w:val="00970CDF"/>
    <w:rsid w:val="0097361C"/>
    <w:rsid w:val="00997019"/>
    <w:rsid w:val="009A353B"/>
    <w:rsid w:val="009A5029"/>
    <w:rsid w:val="009B2582"/>
    <w:rsid w:val="009D2953"/>
    <w:rsid w:val="009D38D5"/>
    <w:rsid w:val="009F001B"/>
    <w:rsid w:val="00A01E75"/>
    <w:rsid w:val="00A1214D"/>
    <w:rsid w:val="00A209CF"/>
    <w:rsid w:val="00A3629B"/>
    <w:rsid w:val="00A45197"/>
    <w:rsid w:val="00A45A34"/>
    <w:rsid w:val="00A53F26"/>
    <w:rsid w:val="00A62FD3"/>
    <w:rsid w:val="00A6650B"/>
    <w:rsid w:val="00A75D1E"/>
    <w:rsid w:val="00A859F5"/>
    <w:rsid w:val="00AA0CC5"/>
    <w:rsid w:val="00AD1134"/>
    <w:rsid w:val="00AD4346"/>
    <w:rsid w:val="00AE7500"/>
    <w:rsid w:val="00AF347F"/>
    <w:rsid w:val="00AF73B9"/>
    <w:rsid w:val="00B05F2C"/>
    <w:rsid w:val="00B0718F"/>
    <w:rsid w:val="00B16AB0"/>
    <w:rsid w:val="00B16AFE"/>
    <w:rsid w:val="00B21372"/>
    <w:rsid w:val="00B33424"/>
    <w:rsid w:val="00B42D28"/>
    <w:rsid w:val="00B56D8B"/>
    <w:rsid w:val="00B65DD5"/>
    <w:rsid w:val="00B67AC3"/>
    <w:rsid w:val="00B80621"/>
    <w:rsid w:val="00BA463C"/>
    <w:rsid w:val="00BA4781"/>
    <w:rsid w:val="00BC2B8C"/>
    <w:rsid w:val="00BD10B6"/>
    <w:rsid w:val="00BD2F14"/>
    <w:rsid w:val="00BF0375"/>
    <w:rsid w:val="00C02B30"/>
    <w:rsid w:val="00C07076"/>
    <w:rsid w:val="00C22854"/>
    <w:rsid w:val="00C3103A"/>
    <w:rsid w:val="00C34349"/>
    <w:rsid w:val="00C351AF"/>
    <w:rsid w:val="00C37318"/>
    <w:rsid w:val="00C520E3"/>
    <w:rsid w:val="00C6435F"/>
    <w:rsid w:val="00C7145B"/>
    <w:rsid w:val="00C73BEA"/>
    <w:rsid w:val="00C84AC2"/>
    <w:rsid w:val="00C8621B"/>
    <w:rsid w:val="00C902F2"/>
    <w:rsid w:val="00CA3050"/>
    <w:rsid w:val="00CA6004"/>
    <w:rsid w:val="00CB00DF"/>
    <w:rsid w:val="00CB562C"/>
    <w:rsid w:val="00CC217B"/>
    <w:rsid w:val="00CD267A"/>
    <w:rsid w:val="00CF265C"/>
    <w:rsid w:val="00D04D53"/>
    <w:rsid w:val="00D73C72"/>
    <w:rsid w:val="00D8580E"/>
    <w:rsid w:val="00D90D2F"/>
    <w:rsid w:val="00DB5728"/>
    <w:rsid w:val="00DE62BE"/>
    <w:rsid w:val="00E0592B"/>
    <w:rsid w:val="00E067F8"/>
    <w:rsid w:val="00E152D6"/>
    <w:rsid w:val="00E31738"/>
    <w:rsid w:val="00E4031B"/>
    <w:rsid w:val="00E53A88"/>
    <w:rsid w:val="00E550B3"/>
    <w:rsid w:val="00E61221"/>
    <w:rsid w:val="00E86786"/>
    <w:rsid w:val="00E91FC9"/>
    <w:rsid w:val="00E9767B"/>
    <w:rsid w:val="00EA11D5"/>
    <w:rsid w:val="00ED18BB"/>
    <w:rsid w:val="00ED2F80"/>
    <w:rsid w:val="00ED6CCB"/>
    <w:rsid w:val="00ED775E"/>
    <w:rsid w:val="00EE2D3F"/>
    <w:rsid w:val="00EE396D"/>
    <w:rsid w:val="00F1624E"/>
    <w:rsid w:val="00F32631"/>
    <w:rsid w:val="00F32F8A"/>
    <w:rsid w:val="00F35DE2"/>
    <w:rsid w:val="00F36296"/>
    <w:rsid w:val="00F42A51"/>
    <w:rsid w:val="00F810AA"/>
    <w:rsid w:val="00F87342"/>
    <w:rsid w:val="00FA2609"/>
    <w:rsid w:val="00FB43EC"/>
    <w:rsid w:val="00FB449F"/>
    <w:rsid w:val="00FB6B40"/>
    <w:rsid w:val="0BAF5261"/>
    <w:rsid w:val="0D97309D"/>
    <w:rsid w:val="10130613"/>
    <w:rsid w:val="127471C2"/>
    <w:rsid w:val="1E7F3E5F"/>
    <w:rsid w:val="264C647C"/>
    <w:rsid w:val="2A6F5006"/>
    <w:rsid w:val="385A00FD"/>
    <w:rsid w:val="3E6E04C6"/>
    <w:rsid w:val="4AD40153"/>
    <w:rsid w:val="52D95C29"/>
    <w:rsid w:val="5ADE7227"/>
    <w:rsid w:val="5EF56A37"/>
    <w:rsid w:val="60EA3140"/>
    <w:rsid w:val="664C267B"/>
    <w:rsid w:val="7EFA4E4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page number"/>
    <w:basedOn w:val="7"/>
    <w:semiHidden/>
    <w:unhideWhenUsed/>
    <w:uiPriority w:val="99"/>
  </w:style>
  <w:style w:type="character" w:styleId="9">
    <w:name w:val="Hyperlink"/>
    <w:qFormat/>
    <w:uiPriority w:val="0"/>
    <w:rPr>
      <w:color w:val="0000FF"/>
      <w:u w:val="single"/>
    </w:rPr>
  </w:style>
  <w:style w:type="character" w:customStyle="1" w:styleId="10">
    <w:name w:val="Header Char"/>
    <w:basedOn w:val="7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1">
    <w:name w:val="Footer Char"/>
    <w:basedOn w:val="7"/>
    <w:link w:val="3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2">
    <w:name w:val="Balloon Text Char"/>
    <w:basedOn w:val="7"/>
    <w:link w:val="2"/>
    <w:semiHidden/>
    <w:qFormat/>
    <w:uiPriority w:val="99"/>
    <w:rPr>
      <w:rFonts w:ascii="Calibri" w:hAnsi="Calibri" w:eastAsia="宋体" w:cs="Times New Roman"/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Theme="minorEastAsi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174</Words>
  <Characters>992</Characters>
  <Lines>8</Lines>
  <Paragraphs>2</Paragraphs>
  <TotalTime>2</TotalTime>
  <ScaleCrop>false</ScaleCrop>
  <LinksUpToDate>false</LinksUpToDate>
  <CharactersWithSpaces>1164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2021-06-22T12:14:00Z</dcterms:created>
  <dc:creator>wushan</dc:creator>
  <cp:lastModifiedBy>赵浩涵</cp:lastModifiedBy>
  <dcterms:modified xsi:type="dcterms:W3CDTF">2021-10-27T09:14:46Z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