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经营者集中简易案件公示表</w:t>
      </w:r>
    </w:p>
    <w:p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9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47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安宏国际资本公司与欧瑞泽欧洲股份公司收购</w:t>
            </w:r>
            <w:r>
              <w:rPr>
                <w:rFonts w:hint="eastAsia" w:ascii="Times New Roman" w:hAnsi="Times New Roman"/>
                <w:sz w:val="24"/>
                <w:szCs w:val="24"/>
                <w:lang w:val="en-GB"/>
              </w:rPr>
              <w:t>普特酒店软件有限责任公司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（</w:t>
            </w:r>
            <w:r>
              <w:rPr>
                <w:rFonts w:ascii="Times New Roman" w:hAnsi="Times New Roman"/>
                <w:sz w:val="24"/>
                <w:szCs w:val="24"/>
              </w:rPr>
              <w:t>Protel Hotelsoftware GmbH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）股权案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交易概况（限200字内）</w:t>
            </w:r>
          </w:p>
        </w:tc>
        <w:tc>
          <w:tcPr>
            <w:tcW w:w="6550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此次交易涉及安宏国际资本公司</w:t>
            </w:r>
            <w:r>
              <w:rPr>
                <w:rFonts w:hint="eastAsia" w:ascii="Times New Roman" w:hAnsi="Times New Roman"/>
                <w:sz w:val="24"/>
                <w:szCs w:val="24"/>
                <w:lang w:val="en-GB"/>
              </w:rPr>
              <w:t>（“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安宏资本</w:t>
            </w:r>
            <w:r>
              <w:rPr>
                <w:rFonts w:hint="eastAsia" w:ascii="Times New Roman" w:hAnsi="Times New Roman"/>
                <w:sz w:val="24"/>
                <w:szCs w:val="24"/>
                <w:lang w:val="en-GB"/>
              </w:rPr>
              <w:t>”）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和欧瑞泽欧洲股份公司</w:t>
            </w:r>
            <w:r>
              <w:rPr>
                <w:rFonts w:hint="eastAsia" w:ascii="Times New Roman" w:hAnsi="Times New Roman"/>
                <w:sz w:val="24"/>
                <w:szCs w:val="24"/>
                <w:lang w:val="en-GB"/>
              </w:rPr>
              <w:t>（“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欧瑞泽</w:t>
            </w:r>
            <w:r>
              <w:rPr>
                <w:rFonts w:hint="eastAsia" w:ascii="Times New Roman" w:hAnsi="Times New Roman"/>
                <w:sz w:val="24"/>
                <w:szCs w:val="24"/>
                <w:lang w:val="en-GB"/>
              </w:rPr>
              <w:t>”）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管理的基金收购</w:t>
            </w:r>
            <w:r>
              <w:rPr>
                <w:rFonts w:hint="eastAsia" w:ascii="Times New Roman" w:hAnsi="Times New Roman"/>
                <w:sz w:val="24"/>
                <w:szCs w:val="24"/>
                <w:lang w:val="en-GB"/>
              </w:rPr>
              <w:t>普特酒店软件有限责任公司（“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  <w:lang w:val="en-GB"/>
              </w:rPr>
              <w:t>普特</w:t>
            </w:r>
            <w:r>
              <w:rPr>
                <w:rFonts w:hint="eastAsia" w:ascii="Times New Roman" w:hAnsi="Times New Roman"/>
                <w:sz w:val="24"/>
                <w:szCs w:val="24"/>
                <w:lang w:val="en-GB"/>
              </w:rPr>
              <w:t>”）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的共同控制权。</w:t>
            </w:r>
            <w:r>
              <w:rPr>
                <w:rFonts w:hint="eastAsia" w:ascii="Times New Roman" w:hAnsi="Times New Roman"/>
                <w:sz w:val="24"/>
                <w:szCs w:val="24"/>
                <w:lang w:val="en-GB"/>
              </w:rPr>
              <w:t>具体而言，根据2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021</w:t>
            </w:r>
            <w:r>
              <w:rPr>
                <w:rFonts w:hint="eastAsia" w:ascii="Times New Roman" w:hAnsi="Times New Roman"/>
                <w:sz w:val="24"/>
                <w:szCs w:val="24"/>
                <w:lang w:val="en-GB"/>
              </w:rPr>
              <w:t>年1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0</w:t>
            </w:r>
            <w:r>
              <w:rPr>
                <w:rFonts w:hint="eastAsia" w:ascii="Times New Roman" w:hAnsi="Times New Roman"/>
                <w:sz w:val="24"/>
                <w:szCs w:val="24"/>
                <w:lang w:val="en-GB"/>
              </w:rPr>
              <w:t>月7日签署的股权收购协议，安宏资本和欧瑞泽间接控制的实体，</w:t>
            </w:r>
            <w:r>
              <w:rPr>
                <w:rFonts w:ascii="Times New Roman" w:hAnsi="Times New Roman"/>
                <w:sz w:val="24"/>
                <w:szCs w:val="24"/>
              </w:rPr>
              <w:t>AI Silk UK Midco 1 Limited</w:t>
            </w:r>
            <w:r>
              <w:rPr>
                <w:rFonts w:hint="eastAsia" w:ascii="Times New Roman" w:hAnsi="Times New Roman"/>
                <w:sz w:val="24"/>
                <w:szCs w:val="24"/>
              </w:rPr>
              <w:t>和</w:t>
            </w:r>
            <w:r>
              <w:rPr>
                <w:rFonts w:ascii="Times New Roman" w:hAnsi="Times New Roman"/>
                <w:sz w:val="24"/>
                <w:szCs w:val="24"/>
              </w:rPr>
              <w:t>AI Silk Germany Bidco AB</w:t>
            </w:r>
            <w:r>
              <w:rPr>
                <w:rFonts w:hint="eastAsia" w:ascii="Times New Roman" w:hAnsi="Times New Roman"/>
                <w:sz w:val="24"/>
                <w:szCs w:val="24"/>
              </w:rPr>
              <w:t>将分别收购普特的全部已发行股本（“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</w:rPr>
              <w:t>拟议交易</w:t>
            </w:r>
            <w:r>
              <w:rPr>
                <w:rFonts w:hint="eastAsia" w:ascii="Times New Roman" w:hAnsi="Times New Roman"/>
                <w:sz w:val="24"/>
                <w:szCs w:val="24"/>
              </w:rPr>
              <w:t>”）。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  <w:lang w:val="en-GB"/>
              </w:rPr>
              <w:t>拟议交易后，普特将由安宏资本和欧瑞泽共同控制。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>
            <w:pPr>
              <w:pStyle w:val="20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安宏资本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安宏资本是一家1984年成立的位于美国的公司。安宏资本专注于全球各个行业的股权收购和投资基金管理，包括商业和金融服务；工业产品和服务；零售业务、品牌消费品和休闲服务；媒体、电信和信息技术；以及医疗服务和药品。安宏资本自1985年起通过一个关联公司开始在中国从事业务。2012年9月，安宏资本在上海设立了配备齐全的办公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pStyle w:val="20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欧瑞泽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欧瑞泽是1969年成立的位于法国的公司。欧瑞泽是一家上市投资公司，拥有数十亿欧元的多元化资产组合，致力于发现、助力并加速其各种规模的投资公司的潜在转型。欧瑞泽的三个主营业务包括私募股权、私人债务和实物资产。欧瑞泽在中国的业务主要包括投资管理、投资咨询、财务咨询和公司管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pStyle w:val="20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szCs w:val="24"/>
                <w:lang w:val="en-GB"/>
              </w:rPr>
              <w:t>普特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szCs w:val="24"/>
                <w:lang w:val="en-GB"/>
              </w:rPr>
              <w:t>普特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于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1994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年成立于德国。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  <w:lang w:val="en-GB"/>
              </w:rPr>
              <w:t>普特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的主要业务包括为酒店提供物业管理系统软件。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 w:cs="Arial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黑体"/>
                <w:szCs w:val="21"/>
                <w:lang w:val="en-GB"/>
              </w:rPr>
              <w:sym w:font="Wingdings" w:char="F0FE"/>
            </w:r>
            <w:r>
              <w:rPr>
                <w:rFonts w:ascii="Times New Roman" w:hAnsi="Times New Roman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5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6550" w:type="dxa"/>
            <w:gridSpan w:val="2"/>
          </w:tcPr>
          <w:p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>相关市场及市场份额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：</w:t>
            </w:r>
          </w:p>
          <w:p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64"/>
              <w:gridCol w:w="1546"/>
              <w:gridCol w:w="178"/>
              <w:gridCol w:w="183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764" w:type="dxa"/>
                  <w:shd w:val="clear" w:color="auto" w:fill="D8D8D8" w:themeFill="background1" w:themeFillShade="D9"/>
                </w:tcPr>
                <w:p>
                  <w:pPr>
                    <w:snapToGrid w:val="0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724" w:type="dxa"/>
                  <w:gridSpan w:val="2"/>
                  <w:shd w:val="clear" w:color="auto" w:fill="D8D8D8" w:themeFill="background1" w:themeFillShade="D9"/>
                </w:tcPr>
                <w:p>
                  <w:pPr>
                    <w:snapToGrid w:val="0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1836" w:type="dxa"/>
                  <w:shd w:val="clear" w:color="auto" w:fill="D8D8D8" w:themeFill="background1" w:themeFillShade="D9"/>
                </w:tcPr>
                <w:p>
                  <w:pPr>
                    <w:snapToGrid w:val="0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市场份额数据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64" w:type="dxa"/>
                  <w:vAlign w:val="center"/>
                </w:tcPr>
                <w:p>
                  <w:pPr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/>
                      <w:sz w:val="24"/>
                      <w:szCs w:val="24"/>
                    </w:rPr>
                    <w:t>酒店</w:t>
                  </w:r>
                  <w:r>
                    <w:rPr>
                      <w:rFonts w:hint="eastAsia" w:ascii="Times New Roman" w:hAnsi="Times New Roman"/>
                      <w:sz w:val="24"/>
                      <w:szCs w:val="24"/>
                      <w:lang w:val="en-US" w:eastAsia="zh-CN"/>
                    </w:rPr>
                    <w:t>管理</w:t>
                  </w:r>
                  <w:r>
                    <w:rPr>
                      <w:rFonts w:hint="eastAsia" w:ascii="Times New Roman" w:hAnsi="Times New Roman"/>
                      <w:sz w:val="24"/>
                      <w:szCs w:val="24"/>
                    </w:rPr>
                    <w:t>软件解</w:t>
                  </w:r>
                  <w:bookmarkStart w:id="0" w:name="_GoBack"/>
                  <w:bookmarkEnd w:id="0"/>
                  <w:r>
                    <w:rPr>
                      <w:rFonts w:hint="eastAsia" w:ascii="Times New Roman" w:hAnsi="Times New Roman"/>
                      <w:sz w:val="24"/>
                      <w:szCs w:val="24"/>
                    </w:rPr>
                    <w:t>决方案</w:t>
                  </w:r>
                </w:p>
              </w:tc>
              <w:tc>
                <w:tcPr>
                  <w:tcW w:w="1546" w:type="dxa"/>
                  <w:vAlign w:val="center"/>
                </w:tcPr>
                <w:p>
                  <w:pPr>
                    <w:snapToGrid w:val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014" w:type="dxa"/>
                  <w:gridSpan w:val="2"/>
                  <w:vAlign w:val="center"/>
                </w:tcPr>
                <w:p>
                  <w:pPr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/>
                      <w:color w:val="000000"/>
                      <w:sz w:val="24"/>
                      <w:szCs w:val="24"/>
                      <w:lang w:val="en-GB"/>
                    </w:rPr>
                    <w:t>普特</w:t>
                  </w:r>
                  <w:r>
                    <w:rPr>
                      <w:rFonts w:hint="eastAsia" w:ascii="Times New Roman" w:hAnsi="Times New Roman"/>
                      <w:sz w:val="24"/>
                      <w:szCs w:val="24"/>
                    </w:rPr>
                    <w:t>：[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0-5]%</w:t>
                  </w:r>
                </w:p>
              </w:tc>
            </w:tr>
          </w:tbl>
          <w:p>
            <w:pPr>
              <w:widowControl/>
              <w:snapToGrid w:val="0"/>
              <w:ind w:left="4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PMingLiU">
    <w:altName w:val="Microsoft JhengHei UI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89376438"/>
      <w:docPartObj>
        <w:docPartGallery w:val="autotext"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autotext"/>
          </w:docPartObj>
        </w:sdtPr>
        <w:sdtEndPr>
          <w:rPr>
            <w:rFonts w:ascii="Times New Roman" w:hAnsi="Times New Roman"/>
          </w:rPr>
        </w:sdtEndPr>
        <w:sdtContent>
          <w:p>
            <w:pPr>
              <w:pStyle w:val="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6A4903"/>
    <w:multiLevelType w:val="multilevel"/>
    <w:tmpl w:val="1C6A490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B69"/>
    <w:rsid w:val="00006080"/>
    <w:rsid w:val="00013591"/>
    <w:rsid w:val="0002587C"/>
    <w:rsid w:val="00045507"/>
    <w:rsid w:val="0005594E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13543"/>
    <w:rsid w:val="00117B9E"/>
    <w:rsid w:val="00137BCF"/>
    <w:rsid w:val="001417D8"/>
    <w:rsid w:val="00165964"/>
    <w:rsid w:val="001913F9"/>
    <w:rsid w:val="00192C2C"/>
    <w:rsid w:val="00193065"/>
    <w:rsid w:val="001B0317"/>
    <w:rsid w:val="001C1B23"/>
    <w:rsid w:val="001E393B"/>
    <w:rsid w:val="001E7C5D"/>
    <w:rsid w:val="0020313A"/>
    <w:rsid w:val="002128F6"/>
    <w:rsid w:val="002158DC"/>
    <w:rsid w:val="00233AB0"/>
    <w:rsid w:val="00245776"/>
    <w:rsid w:val="00262658"/>
    <w:rsid w:val="00266A6B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C306B"/>
    <w:rsid w:val="003C75D7"/>
    <w:rsid w:val="003D3128"/>
    <w:rsid w:val="003D60DB"/>
    <w:rsid w:val="003F170C"/>
    <w:rsid w:val="003F5C69"/>
    <w:rsid w:val="004030E1"/>
    <w:rsid w:val="00427074"/>
    <w:rsid w:val="00445F6B"/>
    <w:rsid w:val="00462174"/>
    <w:rsid w:val="004B00C8"/>
    <w:rsid w:val="004B3A56"/>
    <w:rsid w:val="004C2586"/>
    <w:rsid w:val="00507D9C"/>
    <w:rsid w:val="00531FAA"/>
    <w:rsid w:val="00557102"/>
    <w:rsid w:val="00563A4C"/>
    <w:rsid w:val="00566CC7"/>
    <w:rsid w:val="00574F2D"/>
    <w:rsid w:val="005B533D"/>
    <w:rsid w:val="005C3D32"/>
    <w:rsid w:val="005D1309"/>
    <w:rsid w:val="005D1B7F"/>
    <w:rsid w:val="005E3AC5"/>
    <w:rsid w:val="005F167B"/>
    <w:rsid w:val="005F5FFA"/>
    <w:rsid w:val="006113D3"/>
    <w:rsid w:val="00616F24"/>
    <w:rsid w:val="006300C0"/>
    <w:rsid w:val="006447F2"/>
    <w:rsid w:val="00644C5B"/>
    <w:rsid w:val="0067330C"/>
    <w:rsid w:val="00675286"/>
    <w:rsid w:val="00692DA5"/>
    <w:rsid w:val="006A4D58"/>
    <w:rsid w:val="006A4F76"/>
    <w:rsid w:val="006A5728"/>
    <w:rsid w:val="006B49BF"/>
    <w:rsid w:val="006D0734"/>
    <w:rsid w:val="006E4C68"/>
    <w:rsid w:val="00720227"/>
    <w:rsid w:val="00720679"/>
    <w:rsid w:val="00722B1E"/>
    <w:rsid w:val="007364E2"/>
    <w:rsid w:val="0074694B"/>
    <w:rsid w:val="00785C5F"/>
    <w:rsid w:val="007A0249"/>
    <w:rsid w:val="007C000E"/>
    <w:rsid w:val="007C7803"/>
    <w:rsid w:val="008010AD"/>
    <w:rsid w:val="0080386C"/>
    <w:rsid w:val="008354FF"/>
    <w:rsid w:val="0084303C"/>
    <w:rsid w:val="008736FC"/>
    <w:rsid w:val="008742F4"/>
    <w:rsid w:val="008750C5"/>
    <w:rsid w:val="008764AD"/>
    <w:rsid w:val="00877D76"/>
    <w:rsid w:val="00885D99"/>
    <w:rsid w:val="008926BD"/>
    <w:rsid w:val="0089745C"/>
    <w:rsid w:val="008A7ED7"/>
    <w:rsid w:val="008C10CC"/>
    <w:rsid w:val="008F634B"/>
    <w:rsid w:val="00900557"/>
    <w:rsid w:val="009134D0"/>
    <w:rsid w:val="0093344B"/>
    <w:rsid w:val="0095347A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7FE9"/>
    <w:rsid w:val="00A43A3E"/>
    <w:rsid w:val="00A67610"/>
    <w:rsid w:val="00A73519"/>
    <w:rsid w:val="00A73EC0"/>
    <w:rsid w:val="00A77BD3"/>
    <w:rsid w:val="00AA1A78"/>
    <w:rsid w:val="00AB1BC4"/>
    <w:rsid w:val="00AD646B"/>
    <w:rsid w:val="00AE4C10"/>
    <w:rsid w:val="00B01090"/>
    <w:rsid w:val="00B34D88"/>
    <w:rsid w:val="00B357DC"/>
    <w:rsid w:val="00B60E5E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3D34"/>
    <w:rsid w:val="00BD6EBE"/>
    <w:rsid w:val="00BF0D84"/>
    <w:rsid w:val="00BF6C60"/>
    <w:rsid w:val="00BF7F17"/>
    <w:rsid w:val="00C068D5"/>
    <w:rsid w:val="00C20325"/>
    <w:rsid w:val="00C24B39"/>
    <w:rsid w:val="00C318CE"/>
    <w:rsid w:val="00C319FD"/>
    <w:rsid w:val="00C52346"/>
    <w:rsid w:val="00C76979"/>
    <w:rsid w:val="00C8184D"/>
    <w:rsid w:val="00C9068E"/>
    <w:rsid w:val="00CD148B"/>
    <w:rsid w:val="00CD25EE"/>
    <w:rsid w:val="00CD2BEC"/>
    <w:rsid w:val="00D001A9"/>
    <w:rsid w:val="00D21777"/>
    <w:rsid w:val="00D2453A"/>
    <w:rsid w:val="00D370A7"/>
    <w:rsid w:val="00D451A4"/>
    <w:rsid w:val="00D515E7"/>
    <w:rsid w:val="00D73A38"/>
    <w:rsid w:val="00DA3B19"/>
    <w:rsid w:val="00DC70AB"/>
    <w:rsid w:val="00DE39D7"/>
    <w:rsid w:val="00DE7DBD"/>
    <w:rsid w:val="00DF4BCE"/>
    <w:rsid w:val="00DF6B08"/>
    <w:rsid w:val="00E11C0D"/>
    <w:rsid w:val="00E25016"/>
    <w:rsid w:val="00E32A0C"/>
    <w:rsid w:val="00E34BA1"/>
    <w:rsid w:val="00E54B29"/>
    <w:rsid w:val="00EB0EE6"/>
    <w:rsid w:val="00EC669A"/>
    <w:rsid w:val="00ED21B1"/>
    <w:rsid w:val="00ED25D5"/>
    <w:rsid w:val="00ED4254"/>
    <w:rsid w:val="00EE2784"/>
    <w:rsid w:val="00EE4AF0"/>
    <w:rsid w:val="00F16269"/>
    <w:rsid w:val="00F234B2"/>
    <w:rsid w:val="00F26A0F"/>
    <w:rsid w:val="00F418F4"/>
    <w:rsid w:val="00F41E5F"/>
    <w:rsid w:val="00F42BAC"/>
    <w:rsid w:val="00F5086B"/>
    <w:rsid w:val="00F87C1F"/>
    <w:rsid w:val="00FD4A2C"/>
    <w:rsid w:val="00FE3C66"/>
    <w:rsid w:val="00FE4CAC"/>
    <w:rsid w:val="00FF2D6D"/>
    <w:rsid w:val="17D76ABC"/>
    <w:rsid w:val="24D53983"/>
    <w:rsid w:val="29CB7845"/>
    <w:rsid w:val="302C2F96"/>
    <w:rsid w:val="4EC60A2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2"/>
    <w:semiHidden/>
    <w:unhideWhenUsed/>
    <w:qFormat/>
    <w:uiPriority w:val="99"/>
    <w:pPr>
      <w:jc w:val="left"/>
    </w:pPr>
  </w:style>
  <w:style w:type="paragraph" w:styleId="3">
    <w:name w:val="endnote text"/>
    <w:basedOn w:val="1"/>
    <w:link w:val="15"/>
    <w:semiHidden/>
    <w:unhideWhenUsed/>
    <w:uiPriority w:val="99"/>
    <w:pPr>
      <w:snapToGrid w:val="0"/>
      <w:jc w:val="left"/>
    </w:p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1"/>
    <w:semiHidden/>
    <w:uiPriority w:val="99"/>
    <w:pPr>
      <w:snapToGrid w:val="0"/>
      <w:jc w:val="left"/>
    </w:pPr>
    <w:rPr>
      <w:rFonts w:ascii="Times New Roman" w:hAnsi="Times New Roman" w:eastAsia="PMingLiU"/>
      <w:sz w:val="20"/>
      <w:szCs w:val="20"/>
      <w:lang w:eastAsia="zh-TW"/>
    </w:rPr>
  </w:style>
  <w:style w:type="paragraph" w:styleId="8">
    <w:name w:val="annotation subject"/>
    <w:basedOn w:val="2"/>
    <w:next w:val="2"/>
    <w:link w:val="23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endnote reference"/>
    <w:semiHidden/>
    <w:unhideWhenUsed/>
    <w:uiPriority w:val="99"/>
    <w:rPr>
      <w:vertAlign w:val="superscript"/>
    </w:rPr>
  </w:style>
  <w:style w:type="character" w:styleId="13">
    <w:name w:val="annotation reference"/>
    <w:basedOn w:val="11"/>
    <w:unhideWhenUsed/>
    <w:qFormat/>
    <w:uiPriority w:val="0"/>
    <w:rPr>
      <w:sz w:val="21"/>
      <w:szCs w:val="21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character" w:customStyle="1" w:styleId="15">
    <w:name w:val="尾注文本 Char"/>
    <w:basedOn w:val="11"/>
    <w:link w:val="3"/>
    <w:semiHidden/>
    <w:qFormat/>
    <w:uiPriority w:val="99"/>
  </w:style>
  <w:style w:type="character" w:customStyle="1" w:styleId="16">
    <w:name w:val="页眉 Char"/>
    <w:link w:val="6"/>
    <w:uiPriority w:val="99"/>
    <w:rPr>
      <w:sz w:val="18"/>
      <w:szCs w:val="18"/>
    </w:rPr>
  </w:style>
  <w:style w:type="character" w:customStyle="1" w:styleId="17">
    <w:name w:val="页脚 Char"/>
    <w:link w:val="5"/>
    <w:uiPriority w:val="99"/>
    <w:rPr>
      <w:sz w:val="18"/>
      <w:szCs w:val="18"/>
    </w:rPr>
  </w:style>
  <w:style w:type="character" w:customStyle="1" w:styleId="18">
    <w:name w:val="批注框文本 Char"/>
    <w:link w:val="4"/>
    <w:semiHidden/>
    <w:qFormat/>
    <w:uiPriority w:val="99"/>
    <w:rPr>
      <w:kern w:val="2"/>
      <w:sz w:val="18"/>
      <w:szCs w:val="18"/>
    </w:rPr>
  </w:style>
  <w:style w:type="paragraph" w:customStyle="1" w:styleId="19">
    <w:name w:val="列出段落1"/>
    <w:basedOn w:val="1"/>
    <w:qFormat/>
    <w:uiPriority w:val="34"/>
    <w:pPr>
      <w:ind w:firstLine="420" w:firstLineChars="200"/>
    </w:p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脚注文本 Char"/>
    <w:link w:val="7"/>
    <w:semiHidden/>
    <w:uiPriority w:val="99"/>
    <w:rPr>
      <w:rFonts w:ascii="Times New Roman" w:hAnsi="Times New Roman" w:eastAsia="PMingLiU"/>
      <w:kern w:val="2"/>
      <w:lang w:eastAsia="zh-TW"/>
    </w:rPr>
  </w:style>
  <w:style w:type="character" w:customStyle="1" w:styleId="22">
    <w:name w:val="批注文字 Char"/>
    <w:basedOn w:val="11"/>
    <w:link w:val="2"/>
    <w:semiHidden/>
    <w:qFormat/>
    <w:uiPriority w:val="99"/>
    <w:rPr>
      <w:kern w:val="2"/>
      <w:sz w:val="21"/>
      <w:szCs w:val="22"/>
    </w:rPr>
  </w:style>
  <w:style w:type="character" w:customStyle="1" w:styleId="23">
    <w:name w:val="批注主题 Char"/>
    <w:basedOn w:val="22"/>
    <w:link w:val="8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20DA46-E12B-4E91-8F31-86D9EF80AD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新日鐵住金株式会社</Company>
  <Pages>2</Pages>
  <Words>153</Words>
  <Characters>878</Characters>
  <Lines>7</Lines>
  <Paragraphs>2</Paragraphs>
  <TotalTime>27</TotalTime>
  <ScaleCrop>false</ScaleCrop>
  <LinksUpToDate>false</LinksUpToDate>
  <CharactersWithSpaces>1029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2021-05-07T01:42:00Z</dcterms:created>
  <dc:creator>dell</dc:creator>
  <cp:lastModifiedBy>张洪磊</cp:lastModifiedBy>
  <cp:lastPrinted>2017-01-18T07:04:00Z</cp:lastPrinted>
  <dcterms:modified xsi:type="dcterms:W3CDTF">2021-11-11T03:00:07Z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