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80" w:lineRule="exact"/>
        <w:rPr>
          <w:rFonts w:ascii="Arial" w:hAnsi="Arial" w:eastAsia="宋体" w:cs="Arial"/>
          <w:sz w:val="28"/>
          <w:szCs w:val="28"/>
        </w:rPr>
      </w:pPr>
    </w:p>
    <w:p>
      <w:pPr>
        <w:spacing w:line="440" w:lineRule="exact"/>
        <w:jc w:val="center"/>
        <w:rPr>
          <w:rFonts w:ascii="Arial" w:hAnsi="Arial" w:eastAsia="宋体" w:cs="Arial"/>
          <w:b/>
          <w:sz w:val="30"/>
          <w:szCs w:val="30"/>
        </w:rPr>
      </w:pPr>
      <w:r>
        <w:rPr>
          <w:rFonts w:ascii="Arial" w:hAnsi="Arial" w:eastAsia="宋体" w:cs="Arial"/>
          <w:b/>
          <w:sz w:val="30"/>
          <w:szCs w:val="30"/>
        </w:rPr>
        <w:t>经营者集中简易案件公示表</w:t>
      </w:r>
    </w:p>
    <w:p>
      <w:pPr>
        <w:spacing w:line="440" w:lineRule="exact"/>
        <w:rPr>
          <w:rFonts w:ascii="Arial" w:hAnsi="Arial" w:eastAsia="宋体" w:cs="Arial"/>
          <w:sz w:val="28"/>
          <w:szCs w:val="28"/>
        </w:rPr>
      </w:pPr>
    </w:p>
    <w:tbl>
      <w:tblPr>
        <w:tblStyle w:val="7"/>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1937"/>
        <w:gridCol w:w="55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9" w:hRule="atLeast"/>
        </w:trPr>
        <w:tc>
          <w:tcPr>
            <w:tcW w:w="1668" w:type="dxa"/>
            <w:shd w:val="clear" w:color="auto" w:fill="D8D8D8" w:themeFill="background1" w:themeFillShade="D9"/>
          </w:tcPr>
          <w:p>
            <w:pPr>
              <w:widowControl/>
              <w:snapToGrid w:val="0"/>
              <w:spacing w:before="156" w:beforeLines="50" w:after="156" w:afterLines="50" w:line="400" w:lineRule="exact"/>
              <w:jc w:val="left"/>
              <w:rPr>
                <w:rFonts w:ascii="Arial" w:hAnsi="Arial" w:eastAsia="宋体" w:cs="Arial"/>
                <w:sz w:val="24"/>
                <w:szCs w:val="24"/>
              </w:rPr>
            </w:pPr>
            <w:r>
              <w:rPr>
                <w:rFonts w:ascii="Arial" w:hAnsi="Arial" w:eastAsia="宋体" w:cs="Arial"/>
                <w:sz w:val="24"/>
                <w:szCs w:val="24"/>
              </w:rPr>
              <w:t>案件名称</w:t>
            </w:r>
          </w:p>
        </w:tc>
        <w:tc>
          <w:tcPr>
            <w:tcW w:w="7512" w:type="dxa"/>
            <w:gridSpan w:val="2"/>
          </w:tcPr>
          <w:p>
            <w:pPr>
              <w:adjustRightInd w:val="0"/>
              <w:spacing w:before="156" w:beforeLines="50" w:after="156" w:afterLines="50" w:line="400" w:lineRule="exact"/>
              <w:rPr>
                <w:rFonts w:ascii="Arial" w:hAnsi="Arial" w:eastAsia="宋体" w:cs="Arial"/>
                <w:sz w:val="24"/>
                <w:szCs w:val="24"/>
              </w:rPr>
            </w:pPr>
            <w:r>
              <w:rPr>
                <w:rFonts w:hint="eastAsia" w:ascii="Arial" w:hAnsi="Arial" w:eastAsia="宋体" w:cs="Arial"/>
                <w:sz w:val="24"/>
                <w:szCs w:val="24"/>
                <w:lang w:val="en-US" w:eastAsia="zh-CN"/>
              </w:rPr>
              <w:t>珠海正方集团有限公司通过合同取得深圳市建艺装饰集团股份有限公司控制权案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668" w:type="dxa"/>
            <w:shd w:val="clear" w:color="auto" w:fill="D8D8D8" w:themeFill="background1" w:themeFillShade="D9"/>
          </w:tcPr>
          <w:p>
            <w:pPr>
              <w:widowControl/>
              <w:snapToGrid w:val="0"/>
              <w:spacing w:before="156" w:beforeLines="50" w:after="156" w:afterLines="50" w:line="400" w:lineRule="exact"/>
              <w:jc w:val="left"/>
              <w:rPr>
                <w:rFonts w:ascii="Arial" w:hAnsi="Arial" w:eastAsia="宋体" w:cs="Arial"/>
                <w:sz w:val="24"/>
                <w:szCs w:val="24"/>
              </w:rPr>
            </w:pPr>
            <w:r>
              <w:rPr>
                <w:rFonts w:ascii="Arial" w:hAnsi="Arial" w:eastAsia="宋体" w:cs="Arial"/>
                <w:sz w:val="24"/>
                <w:szCs w:val="24"/>
              </w:rPr>
              <w:t>交易概况（限200字内）</w:t>
            </w:r>
          </w:p>
        </w:tc>
        <w:tc>
          <w:tcPr>
            <w:tcW w:w="7512" w:type="dxa"/>
            <w:gridSpan w:val="2"/>
          </w:tcPr>
          <w:p>
            <w:pPr>
              <w:adjustRightInd w:val="0"/>
              <w:spacing w:before="156" w:beforeLines="50" w:after="156" w:afterLines="50" w:line="400" w:lineRule="exact"/>
              <w:rPr>
                <w:rFonts w:ascii="Arial" w:hAnsi="Arial" w:eastAsia="宋体" w:cs="Arial"/>
                <w:sz w:val="24"/>
                <w:szCs w:val="24"/>
              </w:rPr>
            </w:pPr>
            <w:r>
              <w:rPr>
                <w:rFonts w:hint="eastAsia" w:ascii="Arial" w:hAnsi="Arial" w:eastAsia="宋体" w:cs="Arial"/>
                <w:sz w:val="24"/>
                <w:szCs w:val="24"/>
                <w:lang w:eastAsia="zh-CN"/>
              </w:rPr>
              <w:t>交易前，</w:t>
            </w:r>
            <w:r>
              <w:rPr>
                <w:rFonts w:hint="eastAsia" w:ascii="Arial" w:hAnsi="Arial" w:eastAsia="宋体" w:cs="Arial"/>
                <w:sz w:val="24"/>
                <w:szCs w:val="24"/>
              </w:rPr>
              <w:t>刘海云</w:t>
            </w:r>
            <w:r>
              <w:rPr>
                <w:rFonts w:hint="eastAsia" w:ascii="Arial" w:hAnsi="Arial" w:eastAsia="宋体" w:cs="Arial"/>
                <w:sz w:val="24"/>
                <w:szCs w:val="24"/>
                <w:lang w:eastAsia="zh-CN"/>
              </w:rPr>
              <w:t>为</w:t>
            </w:r>
            <w:r>
              <w:rPr>
                <w:rFonts w:hint="eastAsia" w:ascii="Arial" w:hAnsi="Arial" w:eastAsia="宋体" w:cs="Arial"/>
                <w:sz w:val="24"/>
                <w:szCs w:val="24"/>
              </w:rPr>
              <w:t>深圳市建艺装饰集团股份有限公司（“上市公司”）第一大股东</w:t>
            </w:r>
            <w:r>
              <w:rPr>
                <w:rFonts w:hint="eastAsia" w:ascii="Arial" w:hAnsi="Arial" w:eastAsia="宋体" w:cs="Arial"/>
                <w:sz w:val="24"/>
                <w:szCs w:val="24"/>
                <w:lang w:eastAsia="zh-CN"/>
              </w:rPr>
              <w:t>，</w:t>
            </w:r>
            <w:r>
              <w:rPr>
                <w:rFonts w:hint="eastAsia" w:ascii="Arial" w:hAnsi="Arial" w:eastAsia="宋体" w:cs="Arial"/>
                <w:sz w:val="24"/>
                <w:szCs w:val="24"/>
              </w:rPr>
              <w:t>持有</w:t>
            </w:r>
            <w:r>
              <w:rPr>
                <w:rFonts w:hint="eastAsia" w:ascii="Arial" w:hAnsi="Arial" w:eastAsia="宋体" w:cs="Arial"/>
                <w:sz w:val="24"/>
                <w:szCs w:val="24"/>
                <w:lang w:eastAsia="zh-CN"/>
              </w:rPr>
              <w:t>其</w:t>
            </w:r>
            <w:r>
              <w:rPr>
                <w:rFonts w:hint="eastAsia" w:ascii="Arial" w:hAnsi="Arial" w:eastAsia="宋体" w:cs="Arial"/>
                <w:sz w:val="24"/>
                <w:szCs w:val="24"/>
              </w:rPr>
              <w:t>28.20%</w:t>
            </w:r>
            <w:r>
              <w:rPr>
                <w:rFonts w:hint="eastAsia" w:ascii="Arial" w:hAnsi="Arial" w:eastAsia="宋体" w:cs="Arial"/>
                <w:sz w:val="24"/>
                <w:szCs w:val="24"/>
                <w:lang w:eastAsia="zh-CN"/>
              </w:rPr>
              <w:t>。</w:t>
            </w:r>
            <w:r>
              <w:rPr>
                <w:rFonts w:hint="eastAsia" w:ascii="Arial" w:hAnsi="Arial" w:eastAsia="宋体" w:cs="Arial"/>
                <w:sz w:val="24"/>
                <w:szCs w:val="24"/>
              </w:rPr>
              <w:t>珠海正方集团有限公司持有</w:t>
            </w:r>
            <w:r>
              <w:rPr>
                <w:rFonts w:hint="eastAsia" w:ascii="Arial" w:hAnsi="Arial" w:eastAsia="宋体" w:cs="Arial"/>
                <w:sz w:val="24"/>
                <w:szCs w:val="24"/>
                <w:lang w:eastAsia="zh-CN"/>
              </w:rPr>
              <w:t>上市公司</w:t>
            </w:r>
            <w:r>
              <w:rPr>
                <w:rFonts w:hint="eastAsia" w:ascii="Arial" w:hAnsi="Arial" w:eastAsia="宋体" w:cs="Arial"/>
                <w:sz w:val="24"/>
                <w:szCs w:val="24"/>
              </w:rPr>
              <w:t>22.91%股份。2021年11月，双方签署了《战略合作协议》，约定刘海云放弃其持有股权的表决权。同时，刘海云单方出具署《关于放弃行使相关股份表决权的承诺函》予以确认。珠海正方集团有限公司</w:t>
            </w:r>
            <w:r>
              <w:rPr>
                <w:rFonts w:hint="eastAsia" w:ascii="Arial" w:hAnsi="Arial" w:eastAsia="宋体" w:cs="Arial"/>
                <w:sz w:val="24"/>
                <w:szCs w:val="24"/>
                <w:lang w:eastAsia="zh-CN"/>
              </w:rPr>
              <w:t>对</w:t>
            </w:r>
            <w:r>
              <w:rPr>
                <w:rFonts w:hint="eastAsia" w:ascii="Arial" w:hAnsi="Arial" w:eastAsia="宋体" w:cs="Arial"/>
                <w:sz w:val="24"/>
                <w:szCs w:val="24"/>
              </w:rPr>
              <w:t>上市公司</w:t>
            </w:r>
            <w:r>
              <w:rPr>
                <w:rFonts w:hint="eastAsia" w:ascii="Arial" w:hAnsi="Arial" w:eastAsia="宋体" w:cs="Arial"/>
                <w:sz w:val="24"/>
                <w:szCs w:val="24"/>
                <w:lang w:eastAsia="zh-CN"/>
              </w:rPr>
              <w:t>具有单独控制权</w:t>
            </w:r>
            <w:r>
              <w:rPr>
                <w:rFonts w:hint="eastAsia" w:ascii="Arial" w:hAnsi="Arial" w:eastAsia="宋体" w:cs="Arial"/>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4" w:hRule="atLeast"/>
        </w:trPr>
        <w:tc>
          <w:tcPr>
            <w:tcW w:w="1668" w:type="dxa"/>
            <w:vMerge w:val="restart"/>
            <w:shd w:val="clear" w:color="auto" w:fill="D8D8D8" w:themeFill="background1" w:themeFillShade="D9"/>
          </w:tcPr>
          <w:p>
            <w:pPr>
              <w:spacing w:line="500" w:lineRule="exact"/>
              <w:rPr>
                <w:rFonts w:ascii="Arial" w:hAnsi="Arial" w:eastAsia="宋体" w:cs="Arial"/>
                <w:sz w:val="24"/>
                <w:szCs w:val="24"/>
              </w:rPr>
            </w:pPr>
            <w:r>
              <w:rPr>
                <w:rFonts w:ascii="Arial" w:hAnsi="Arial" w:eastAsia="宋体" w:cs="Arial"/>
                <w:sz w:val="24"/>
                <w:szCs w:val="24"/>
              </w:rPr>
              <w:t>参与集中的经营者简介</w:t>
            </w:r>
          </w:p>
        </w:tc>
        <w:tc>
          <w:tcPr>
            <w:tcW w:w="1937" w:type="dxa"/>
            <w:vAlign w:val="center"/>
          </w:tcPr>
          <w:p>
            <w:pPr>
              <w:spacing w:before="156" w:beforeLines="50" w:after="156" w:afterLines="50" w:line="400" w:lineRule="exact"/>
              <w:rPr>
                <w:rFonts w:ascii="Arial" w:hAnsi="Arial" w:eastAsia="宋体" w:cs="Arial"/>
                <w:sz w:val="24"/>
                <w:szCs w:val="24"/>
              </w:rPr>
            </w:pPr>
            <w:r>
              <w:rPr>
                <w:rFonts w:hint="eastAsia" w:ascii="Arial" w:hAnsi="Arial" w:eastAsia="宋体" w:cs="Arial"/>
                <w:sz w:val="24"/>
                <w:szCs w:val="24"/>
              </w:rPr>
              <w:t>珠海正方集团有限公司</w:t>
            </w:r>
          </w:p>
        </w:tc>
        <w:tc>
          <w:tcPr>
            <w:tcW w:w="5575" w:type="dxa"/>
            <w:vAlign w:val="center"/>
          </w:tcPr>
          <w:p>
            <w:pPr>
              <w:spacing w:before="156" w:beforeLines="50" w:after="156" w:afterLines="50" w:line="400" w:lineRule="exact"/>
              <w:rPr>
                <w:rFonts w:ascii="Arial" w:hAnsi="Arial" w:eastAsia="宋体" w:cs="Arial"/>
                <w:sz w:val="24"/>
                <w:szCs w:val="24"/>
              </w:rPr>
            </w:pPr>
            <w:bookmarkStart w:id="0" w:name="_Toc356809686"/>
            <w:r>
              <w:rPr>
                <w:rFonts w:ascii="Arial" w:hAnsi="Arial" w:eastAsia="宋体" w:cs="Arial"/>
                <w:sz w:val="24"/>
                <w:szCs w:val="24"/>
              </w:rPr>
              <w:t>一家于</w:t>
            </w:r>
            <w:r>
              <w:rPr>
                <w:rFonts w:hint="eastAsia" w:ascii="Arial" w:hAnsi="Arial" w:eastAsia="宋体" w:cs="Arial"/>
                <w:sz w:val="24"/>
                <w:szCs w:val="24"/>
              </w:rPr>
              <w:t>1996年2月28日在广东省珠海市成立的有限责任公司，主要从事住宅房屋建筑施工。</w:t>
            </w:r>
            <w:bookmarkEnd w:id="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6" w:hRule="atLeast"/>
        </w:trPr>
        <w:tc>
          <w:tcPr>
            <w:tcW w:w="1668" w:type="dxa"/>
            <w:vMerge w:val="continue"/>
            <w:shd w:val="clear" w:color="auto" w:fill="D8D8D8" w:themeFill="background1" w:themeFillShade="D9"/>
          </w:tcPr>
          <w:p>
            <w:pPr>
              <w:spacing w:line="500" w:lineRule="exact"/>
              <w:rPr>
                <w:rFonts w:ascii="Arial" w:hAnsi="Arial" w:eastAsia="宋体" w:cs="Arial"/>
                <w:sz w:val="24"/>
                <w:szCs w:val="24"/>
              </w:rPr>
            </w:pPr>
          </w:p>
        </w:tc>
        <w:tc>
          <w:tcPr>
            <w:tcW w:w="1937" w:type="dxa"/>
            <w:vAlign w:val="center"/>
          </w:tcPr>
          <w:p>
            <w:pPr>
              <w:spacing w:before="156" w:beforeLines="50" w:after="156" w:afterLines="50" w:line="400" w:lineRule="exact"/>
              <w:rPr>
                <w:rFonts w:ascii="Arial" w:hAnsi="Arial" w:eastAsia="宋体" w:cs="Arial"/>
                <w:sz w:val="24"/>
                <w:szCs w:val="24"/>
              </w:rPr>
            </w:pPr>
            <w:r>
              <w:rPr>
                <w:rFonts w:hint="eastAsia" w:ascii="Arial" w:hAnsi="Arial" w:eastAsia="宋体" w:cs="Arial"/>
                <w:sz w:val="24"/>
                <w:szCs w:val="24"/>
              </w:rPr>
              <w:t>深圳市建艺装饰集团股份有限公司</w:t>
            </w:r>
          </w:p>
        </w:tc>
        <w:tc>
          <w:tcPr>
            <w:tcW w:w="5575" w:type="dxa"/>
          </w:tcPr>
          <w:p>
            <w:pPr>
              <w:adjustRightInd w:val="0"/>
              <w:spacing w:before="156" w:beforeLines="50" w:after="156" w:afterLines="50" w:line="400" w:lineRule="exact"/>
              <w:rPr>
                <w:rFonts w:ascii="Arial" w:hAnsi="Arial" w:eastAsia="宋体" w:cs="Arial"/>
                <w:sz w:val="24"/>
                <w:szCs w:val="24"/>
              </w:rPr>
            </w:pPr>
            <w:r>
              <w:rPr>
                <w:rFonts w:ascii="Arial" w:hAnsi="Arial" w:eastAsia="宋体" w:cs="Arial"/>
                <w:sz w:val="24"/>
                <w:szCs w:val="24"/>
              </w:rPr>
              <w:t>一家于</w:t>
            </w:r>
            <w:r>
              <w:rPr>
                <w:rFonts w:hint="eastAsia" w:ascii="Arial" w:hAnsi="Arial" w:eastAsia="宋体" w:cs="Arial"/>
                <w:sz w:val="24"/>
                <w:szCs w:val="24"/>
              </w:rPr>
              <w:t>1994年1月3日</w:t>
            </w:r>
            <w:r>
              <w:rPr>
                <w:rFonts w:ascii="Arial" w:hAnsi="Arial" w:eastAsia="宋体" w:cs="Arial"/>
                <w:sz w:val="24"/>
                <w:szCs w:val="24"/>
              </w:rPr>
              <w:t>在广东省深圳市注册成立的有限责任公司，主要</w:t>
            </w:r>
            <w:r>
              <w:rPr>
                <w:rFonts w:hint="eastAsia" w:ascii="Arial" w:hAnsi="Arial" w:eastAsia="宋体" w:cs="Arial"/>
                <w:sz w:val="24"/>
                <w:szCs w:val="24"/>
              </w:rPr>
              <w:t>从事室内</w:t>
            </w:r>
            <w:r>
              <w:rPr>
                <w:rFonts w:ascii="Arial" w:hAnsi="Arial" w:eastAsia="宋体" w:cs="Arial"/>
                <w:sz w:val="24"/>
                <w:szCs w:val="24"/>
              </w:rPr>
              <w:t>建筑装饰施工业务</w:t>
            </w:r>
            <w:r>
              <w:rPr>
                <w:rFonts w:hint="eastAsia" w:ascii="Arial" w:hAnsi="Arial" w:eastAsia="宋体" w:cs="Arial"/>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668" w:type="dxa"/>
            <w:vMerge w:val="restart"/>
            <w:shd w:val="clear" w:color="auto" w:fill="D8D8D8" w:themeFill="background1" w:themeFillShade="D9"/>
          </w:tcPr>
          <w:p>
            <w:pPr>
              <w:spacing w:line="500" w:lineRule="exact"/>
              <w:rPr>
                <w:rFonts w:ascii="Arial" w:hAnsi="Arial" w:eastAsia="宋体" w:cs="Arial"/>
                <w:sz w:val="24"/>
                <w:szCs w:val="24"/>
              </w:rPr>
            </w:pPr>
            <w:r>
              <w:rPr>
                <w:rFonts w:ascii="Arial" w:hAnsi="Arial" w:eastAsia="宋体" w:cs="Arial"/>
                <w:sz w:val="24"/>
                <w:szCs w:val="24"/>
              </w:rPr>
              <w:t>简易案件理由（可多选）</w:t>
            </w:r>
          </w:p>
        </w:tc>
        <w:tc>
          <w:tcPr>
            <w:tcW w:w="7512" w:type="dxa"/>
            <w:gridSpan w:val="2"/>
          </w:tcPr>
          <w:p>
            <w:pPr>
              <w:spacing w:before="156" w:beforeLines="50" w:after="156" w:afterLines="50" w:line="400" w:lineRule="exact"/>
              <w:rPr>
                <w:rFonts w:ascii="Arial" w:hAnsi="Arial" w:eastAsia="宋体" w:cs="Arial"/>
                <w:sz w:val="24"/>
                <w:szCs w:val="24"/>
              </w:rPr>
            </w:pPr>
            <w:r>
              <w:rPr>
                <w:rFonts w:ascii="Arial" w:hAnsi="Arial" w:eastAsia="宋体" w:cs="Arial"/>
                <w:sz w:val="36"/>
                <w:szCs w:val="36"/>
              </w:rPr>
              <w:t>□</w:t>
            </w:r>
            <w:r>
              <w:rPr>
                <w:rFonts w:ascii="Arial" w:hAnsi="Arial" w:eastAsia="宋体" w:cs="Arial"/>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668" w:type="dxa"/>
            <w:vMerge w:val="continue"/>
            <w:shd w:val="clear" w:color="auto" w:fill="D8D8D8" w:themeFill="background1" w:themeFillShade="D9"/>
          </w:tcPr>
          <w:p>
            <w:pPr>
              <w:spacing w:line="500" w:lineRule="exact"/>
              <w:rPr>
                <w:rFonts w:ascii="Arial" w:hAnsi="Arial" w:eastAsia="宋体" w:cs="Arial"/>
                <w:sz w:val="24"/>
                <w:szCs w:val="24"/>
              </w:rPr>
            </w:pPr>
          </w:p>
        </w:tc>
        <w:tc>
          <w:tcPr>
            <w:tcW w:w="7512" w:type="dxa"/>
            <w:gridSpan w:val="2"/>
          </w:tcPr>
          <w:p>
            <w:pPr>
              <w:spacing w:before="156" w:beforeLines="50" w:after="156" w:afterLines="50" w:line="400" w:lineRule="exact"/>
              <w:rPr>
                <w:rFonts w:ascii="Arial" w:hAnsi="Arial" w:eastAsia="宋体" w:cs="Arial"/>
                <w:sz w:val="24"/>
                <w:szCs w:val="24"/>
              </w:rPr>
            </w:pPr>
            <w:r>
              <w:rPr>
                <w:rFonts w:ascii="Arial" w:hAnsi="Arial" w:eastAsia="宋体" w:cs="Arial"/>
                <w:sz w:val="36"/>
                <w:szCs w:val="36"/>
              </w:rPr>
              <w:sym w:font="Wingdings 2" w:char="0052"/>
            </w:r>
            <w:r>
              <w:rPr>
                <w:rFonts w:ascii="Arial" w:hAnsi="Arial" w:eastAsia="宋体" w:cs="Arial"/>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68" w:type="dxa"/>
            <w:vMerge w:val="continue"/>
            <w:shd w:val="clear" w:color="auto" w:fill="D8D8D8" w:themeFill="background1" w:themeFillShade="D9"/>
          </w:tcPr>
          <w:p>
            <w:pPr>
              <w:spacing w:line="500" w:lineRule="exact"/>
              <w:rPr>
                <w:rFonts w:ascii="Arial" w:hAnsi="Arial" w:eastAsia="宋体" w:cs="Arial"/>
                <w:sz w:val="24"/>
                <w:szCs w:val="24"/>
              </w:rPr>
            </w:pPr>
          </w:p>
        </w:tc>
        <w:tc>
          <w:tcPr>
            <w:tcW w:w="7512" w:type="dxa"/>
            <w:gridSpan w:val="2"/>
          </w:tcPr>
          <w:p>
            <w:pPr>
              <w:spacing w:before="156" w:beforeLines="50" w:after="156" w:afterLines="50" w:line="400" w:lineRule="exact"/>
              <w:rPr>
                <w:rFonts w:ascii="Arial" w:hAnsi="Arial" w:eastAsia="宋体" w:cs="Arial"/>
                <w:sz w:val="24"/>
                <w:szCs w:val="24"/>
              </w:rPr>
            </w:pPr>
            <w:r>
              <w:rPr>
                <w:rFonts w:ascii="Arial" w:hAnsi="Arial" w:eastAsia="宋体" w:cs="Arial"/>
                <w:sz w:val="36"/>
                <w:szCs w:val="36"/>
              </w:rPr>
              <w:t>□</w:t>
            </w:r>
            <w:r>
              <w:rPr>
                <w:rFonts w:ascii="Arial" w:hAnsi="Arial" w:eastAsia="宋体" w:cs="Arial"/>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668" w:type="dxa"/>
            <w:vMerge w:val="continue"/>
            <w:shd w:val="clear" w:color="auto" w:fill="D8D8D8" w:themeFill="background1" w:themeFillShade="D9"/>
          </w:tcPr>
          <w:p>
            <w:pPr>
              <w:spacing w:line="500" w:lineRule="exact"/>
              <w:rPr>
                <w:rFonts w:ascii="Arial" w:hAnsi="Arial" w:eastAsia="宋体" w:cs="Arial"/>
                <w:sz w:val="24"/>
                <w:szCs w:val="24"/>
              </w:rPr>
            </w:pPr>
          </w:p>
        </w:tc>
        <w:tc>
          <w:tcPr>
            <w:tcW w:w="7512" w:type="dxa"/>
            <w:gridSpan w:val="2"/>
          </w:tcPr>
          <w:p>
            <w:pPr>
              <w:spacing w:before="156" w:beforeLines="50" w:after="156" w:afterLines="50" w:line="400" w:lineRule="exact"/>
              <w:rPr>
                <w:rFonts w:ascii="Arial" w:hAnsi="Arial" w:eastAsia="宋体" w:cs="Arial"/>
                <w:sz w:val="24"/>
                <w:szCs w:val="24"/>
              </w:rPr>
            </w:pPr>
            <w:r>
              <w:rPr>
                <w:rFonts w:ascii="Arial" w:hAnsi="Arial" w:eastAsia="宋体" w:cs="Arial"/>
                <w:sz w:val="36"/>
                <w:szCs w:val="36"/>
              </w:rPr>
              <w:t>□</w:t>
            </w:r>
            <w:r>
              <w:rPr>
                <w:rFonts w:ascii="Arial" w:hAnsi="Arial" w:eastAsia="宋体" w:cs="Arial"/>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668" w:type="dxa"/>
            <w:vMerge w:val="continue"/>
            <w:shd w:val="clear" w:color="auto" w:fill="D8D8D8" w:themeFill="background1" w:themeFillShade="D9"/>
          </w:tcPr>
          <w:p>
            <w:pPr>
              <w:spacing w:line="500" w:lineRule="exact"/>
              <w:rPr>
                <w:rFonts w:ascii="Arial" w:hAnsi="Arial" w:eastAsia="宋体" w:cs="Arial"/>
                <w:sz w:val="24"/>
                <w:szCs w:val="24"/>
              </w:rPr>
            </w:pPr>
          </w:p>
        </w:tc>
        <w:tc>
          <w:tcPr>
            <w:tcW w:w="7512" w:type="dxa"/>
            <w:gridSpan w:val="2"/>
          </w:tcPr>
          <w:p>
            <w:pPr>
              <w:spacing w:before="156" w:beforeLines="50" w:after="156" w:afterLines="50" w:line="400" w:lineRule="exact"/>
              <w:rPr>
                <w:rFonts w:ascii="Arial" w:hAnsi="Arial" w:eastAsia="宋体" w:cs="Arial"/>
                <w:sz w:val="24"/>
                <w:szCs w:val="24"/>
              </w:rPr>
            </w:pPr>
            <w:r>
              <w:rPr>
                <w:rFonts w:ascii="Arial" w:hAnsi="Arial" w:eastAsia="宋体" w:cs="Arial"/>
                <w:sz w:val="36"/>
                <w:szCs w:val="36"/>
              </w:rPr>
              <w:t>□</w:t>
            </w:r>
            <w:r>
              <w:rPr>
                <w:rFonts w:ascii="Arial" w:hAnsi="Arial" w:eastAsia="宋体" w:cs="Arial"/>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668" w:type="dxa"/>
            <w:vMerge w:val="continue"/>
            <w:shd w:val="clear" w:color="auto" w:fill="D8D8D8" w:themeFill="background1" w:themeFillShade="D9"/>
          </w:tcPr>
          <w:p>
            <w:pPr>
              <w:spacing w:line="500" w:lineRule="exact"/>
              <w:rPr>
                <w:rFonts w:ascii="Arial" w:hAnsi="Arial" w:eastAsia="宋体" w:cs="Arial"/>
                <w:sz w:val="24"/>
                <w:szCs w:val="24"/>
              </w:rPr>
            </w:pPr>
          </w:p>
        </w:tc>
        <w:tc>
          <w:tcPr>
            <w:tcW w:w="7512" w:type="dxa"/>
            <w:gridSpan w:val="2"/>
          </w:tcPr>
          <w:p>
            <w:pPr>
              <w:spacing w:before="156" w:beforeLines="50" w:after="156" w:afterLines="50" w:line="400" w:lineRule="exact"/>
              <w:rPr>
                <w:rFonts w:ascii="Arial" w:hAnsi="Arial" w:eastAsia="宋体" w:cs="Arial"/>
                <w:sz w:val="24"/>
                <w:szCs w:val="24"/>
              </w:rPr>
            </w:pPr>
            <w:r>
              <w:rPr>
                <w:rFonts w:ascii="Arial" w:hAnsi="Arial" w:eastAsia="宋体" w:cs="Arial"/>
                <w:sz w:val="36"/>
                <w:szCs w:val="36"/>
              </w:rPr>
              <w:t>□</w:t>
            </w:r>
            <w:r>
              <w:rPr>
                <w:rFonts w:ascii="Arial" w:hAnsi="Arial" w:eastAsia="宋体" w:cs="Arial"/>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shd w:val="clear" w:color="auto" w:fill="D8D8D8" w:themeFill="background1" w:themeFillShade="D9"/>
          </w:tcPr>
          <w:p>
            <w:pPr>
              <w:widowControl/>
              <w:snapToGrid w:val="0"/>
              <w:spacing w:before="156" w:beforeLines="50" w:after="156" w:afterLines="50" w:line="400" w:lineRule="exact"/>
              <w:jc w:val="left"/>
              <w:rPr>
                <w:rFonts w:ascii="Arial" w:hAnsi="Arial" w:eastAsia="宋体" w:cs="Arial"/>
                <w:sz w:val="24"/>
                <w:szCs w:val="24"/>
              </w:rPr>
            </w:pPr>
            <w:r>
              <w:rPr>
                <w:rFonts w:ascii="Arial" w:hAnsi="Arial" w:eastAsia="宋体" w:cs="Arial"/>
                <w:sz w:val="24"/>
                <w:szCs w:val="24"/>
              </w:rPr>
              <w:t>备注</w:t>
            </w:r>
          </w:p>
        </w:tc>
        <w:tc>
          <w:tcPr>
            <w:tcW w:w="7512" w:type="dxa"/>
            <w:gridSpan w:val="2"/>
          </w:tcPr>
          <w:p>
            <w:pPr>
              <w:rPr>
                <w:rFonts w:ascii="Arial" w:hAnsi="Arial" w:eastAsia="宋体" w:cs="Arial"/>
              </w:rPr>
            </w:pPr>
            <w:r>
              <w:rPr>
                <w:rFonts w:ascii="Arial" w:hAnsi="Arial" w:eastAsia="宋体" w:cs="Arial"/>
              </w:rPr>
              <w:t>本项交易涉及以下相关市场：</w:t>
            </w:r>
          </w:p>
          <w:p>
            <w:pPr>
              <w:rPr>
                <w:rFonts w:ascii="Arial" w:hAnsi="Arial" w:eastAsia="宋体" w:cs="Arial"/>
              </w:rPr>
            </w:pPr>
            <w:r>
              <w:rPr>
                <w:rFonts w:ascii="Arial" w:hAnsi="Arial" w:eastAsia="宋体" w:cs="Arial"/>
              </w:rPr>
              <w:t>产品市场：</w:t>
            </w:r>
            <w:r>
              <w:rPr>
                <w:rFonts w:hint="eastAsia" w:ascii="Calibri" w:hAnsi="Calibri" w:eastAsia="宋体" w:cs="Times New Roman"/>
              </w:rPr>
              <w:t>房屋</w:t>
            </w:r>
            <w:r>
              <w:rPr>
                <w:rFonts w:ascii="Calibri" w:hAnsi="Calibri" w:eastAsia="宋体" w:cs="Times New Roman"/>
              </w:rPr>
              <w:t>建筑</w:t>
            </w:r>
            <w:r>
              <w:rPr>
                <w:rFonts w:hint="eastAsia" w:ascii="Calibri" w:hAnsi="Calibri" w:eastAsia="宋体" w:cs="Times New Roman"/>
              </w:rPr>
              <w:t>工程服务</w:t>
            </w:r>
          </w:p>
          <w:p>
            <w:pPr>
              <w:rPr>
                <w:rFonts w:ascii="Arial" w:hAnsi="Arial" w:eastAsia="宋体" w:cs="Arial"/>
              </w:rPr>
            </w:pPr>
            <w:r>
              <w:rPr>
                <w:rFonts w:ascii="Arial" w:hAnsi="Arial" w:eastAsia="宋体" w:cs="Arial"/>
              </w:rPr>
              <w:t>地域市场：中国</w:t>
            </w:r>
          </w:p>
          <w:p>
            <w:pPr>
              <w:rPr>
                <w:rFonts w:ascii="Arial" w:hAnsi="Arial" w:eastAsia="宋体" w:cs="Arial"/>
              </w:rPr>
            </w:pPr>
            <w:r>
              <w:rPr>
                <w:rFonts w:ascii="Arial" w:hAnsi="Arial" w:eastAsia="宋体" w:cs="Arial"/>
              </w:rPr>
              <w:t>产品市场</w:t>
            </w:r>
            <w:r>
              <w:rPr>
                <w:rFonts w:hint="eastAsia" w:ascii="Arial" w:hAnsi="Arial" w:eastAsia="宋体" w:cs="Arial"/>
              </w:rPr>
              <w:t>：室内装饰服务。</w:t>
            </w:r>
          </w:p>
          <w:p>
            <w:pPr>
              <w:rPr>
                <w:rFonts w:ascii="Arial" w:hAnsi="Arial" w:eastAsia="宋体" w:cs="Arial"/>
              </w:rPr>
            </w:pPr>
            <w:r>
              <w:rPr>
                <w:rFonts w:ascii="Arial" w:hAnsi="Arial" w:eastAsia="宋体" w:cs="Arial"/>
              </w:rPr>
              <w:t>地域市场：中国</w:t>
            </w:r>
          </w:p>
          <w:p>
            <w:pPr>
              <w:rPr>
                <w:rFonts w:ascii="Arial" w:hAnsi="Arial" w:eastAsia="宋体" w:cs="Arial"/>
              </w:rPr>
            </w:pPr>
          </w:p>
          <w:p>
            <w:pPr>
              <w:rPr>
                <w:rFonts w:ascii="Arial" w:hAnsi="Arial" w:eastAsia="宋体" w:cs="Arial"/>
              </w:rPr>
            </w:pPr>
            <w:r>
              <w:rPr>
                <w:rFonts w:ascii="Arial" w:hAnsi="Arial" w:eastAsia="宋体" w:cs="Arial"/>
              </w:rPr>
              <w:t>市场份额：</w:t>
            </w:r>
          </w:p>
          <w:tbl>
            <w:tblPr>
              <w:tblStyle w:val="6"/>
              <w:tblW w:w="7119" w:type="dxa"/>
              <w:tblInd w:w="45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5"/>
              <w:gridCol w:w="1701"/>
              <w:gridCol w:w="25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Borders>
                    <w:top w:val="single" w:color="auto" w:sz="4" w:space="0"/>
                    <w:left w:val="single" w:color="auto" w:sz="4" w:space="0"/>
                    <w:bottom w:val="single" w:color="auto" w:sz="4" w:space="0"/>
                    <w:right w:val="single" w:color="auto" w:sz="4" w:space="0"/>
                  </w:tcBorders>
                </w:tcPr>
                <w:p>
                  <w:pPr>
                    <w:rPr>
                      <w:rFonts w:ascii="Arial" w:hAnsi="Arial" w:eastAsia="宋体" w:cs="Arial"/>
                    </w:rPr>
                  </w:pPr>
                  <w:r>
                    <w:rPr>
                      <w:rFonts w:ascii="Arial" w:hAnsi="Arial" w:eastAsia="宋体" w:cs="Arial"/>
                    </w:rPr>
                    <w:t>相关市场</w:t>
                  </w:r>
                </w:p>
              </w:tc>
              <w:tc>
                <w:tcPr>
                  <w:tcW w:w="1701" w:type="dxa"/>
                  <w:tcBorders>
                    <w:top w:val="single" w:color="auto" w:sz="4" w:space="0"/>
                    <w:left w:val="single" w:color="auto" w:sz="4" w:space="0"/>
                    <w:bottom w:val="single" w:color="auto" w:sz="4" w:space="0"/>
                    <w:right w:val="single" w:color="auto" w:sz="4" w:space="0"/>
                  </w:tcBorders>
                </w:tcPr>
                <w:p>
                  <w:pPr>
                    <w:rPr>
                      <w:rFonts w:ascii="Arial" w:hAnsi="Arial" w:eastAsia="宋体" w:cs="Arial"/>
                    </w:rPr>
                  </w:pPr>
                  <w:r>
                    <w:rPr>
                      <w:rFonts w:ascii="Arial" w:hAnsi="Arial" w:eastAsia="宋体" w:cs="Arial"/>
                    </w:rPr>
                    <w:t>经营者</w:t>
                  </w:r>
                </w:p>
              </w:tc>
              <w:tc>
                <w:tcPr>
                  <w:tcW w:w="2583" w:type="dxa"/>
                  <w:tcBorders>
                    <w:top w:val="single" w:color="auto" w:sz="4" w:space="0"/>
                    <w:left w:val="single" w:color="auto" w:sz="4" w:space="0"/>
                    <w:bottom w:val="single" w:color="auto" w:sz="4" w:space="0"/>
                    <w:right w:val="single" w:color="auto" w:sz="4" w:space="0"/>
                  </w:tcBorders>
                </w:tcPr>
                <w:p>
                  <w:pPr>
                    <w:rPr>
                      <w:rFonts w:ascii="Arial" w:hAnsi="Arial" w:eastAsia="宋体" w:cs="Arial"/>
                    </w:rPr>
                  </w:pPr>
                  <w:r>
                    <w:rPr>
                      <w:rFonts w:ascii="Arial" w:hAnsi="Arial" w:eastAsia="宋体" w:cs="Arial"/>
                    </w:rPr>
                    <w:t>市场份额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Borders>
                    <w:top w:val="single" w:color="auto" w:sz="4" w:space="0"/>
                    <w:left w:val="single" w:color="auto" w:sz="4" w:space="0"/>
                    <w:bottom w:val="single" w:color="auto" w:sz="4" w:space="0"/>
                    <w:right w:val="single" w:color="auto" w:sz="4" w:space="0"/>
                  </w:tcBorders>
                </w:tcPr>
                <w:p>
                  <w:pPr>
                    <w:rPr>
                      <w:rFonts w:ascii="Arial" w:hAnsi="Arial" w:eastAsia="宋体" w:cs="Arial"/>
                    </w:rPr>
                  </w:pPr>
                  <w:r>
                    <w:rPr>
                      <w:rFonts w:ascii="Arial" w:hAnsi="Arial" w:eastAsia="宋体" w:cs="Arial"/>
                    </w:rPr>
                    <w:t>房屋建筑工程</w:t>
                  </w:r>
                  <w:r>
                    <w:rPr>
                      <w:rFonts w:hint="eastAsia" w:ascii="Arial" w:hAnsi="Arial" w:eastAsia="宋体" w:cs="Arial"/>
                    </w:rPr>
                    <w:t>服务</w:t>
                  </w:r>
                </w:p>
              </w:tc>
              <w:tc>
                <w:tcPr>
                  <w:tcW w:w="1701" w:type="dxa"/>
                  <w:tcBorders>
                    <w:top w:val="single" w:color="auto" w:sz="4" w:space="0"/>
                    <w:left w:val="single" w:color="auto" w:sz="4" w:space="0"/>
                    <w:bottom w:val="single" w:color="auto" w:sz="4" w:space="0"/>
                    <w:right w:val="single" w:color="auto" w:sz="4" w:space="0"/>
                  </w:tcBorders>
                </w:tcPr>
                <w:p>
                  <w:pPr>
                    <w:rPr>
                      <w:rFonts w:ascii="Arial" w:hAnsi="Arial" w:eastAsia="宋体" w:cs="Arial"/>
                    </w:rPr>
                  </w:pPr>
                  <w:r>
                    <w:rPr>
                      <w:rFonts w:hint="eastAsia"/>
                    </w:rPr>
                    <w:t>珠海正方集团有限公司</w:t>
                  </w:r>
                </w:p>
              </w:tc>
              <w:tc>
                <w:tcPr>
                  <w:tcW w:w="2583" w:type="dxa"/>
                  <w:tcBorders>
                    <w:top w:val="single" w:color="auto" w:sz="4" w:space="0"/>
                    <w:left w:val="single" w:color="auto" w:sz="4" w:space="0"/>
                    <w:bottom w:val="single" w:color="auto" w:sz="4" w:space="0"/>
                    <w:right w:val="single" w:color="auto" w:sz="4" w:space="0"/>
                  </w:tcBorders>
                  <w:vAlign w:val="center"/>
                </w:tcPr>
                <w:p>
                  <w:pPr>
                    <w:rPr>
                      <w:rFonts w:ascii="Arial" w:hAnsi="Arial" w:eastAsia="宋体" w:cs="Arial"/>
                    </w:rPr>
                  </w:pPr>
                  <w:r>
                    <w:rPr>
                      <w:rFonts w:ascii="Arial" w:hAnsi="Arial" w:eastAsia="宋体" w:cs="Arial"/>
                    </w:rPr>
                    <w:t>低于1%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Borders>
                    <w:top w:val="single" w:color="auto" w:sz="4" w:space="0"/>
                    <w:left w:val="single" w:color="auto" w:sz="4" w:space="0"/>
                    <w:bottom w:val="single" w:color="auto" w:sz="4" w:space="0"/>
                    <w:right w:val="single" w:color="auto" w:sz="4" w:space="0"/>
                  </w:tcBorders>
                </w:tcPr>
                <w:p>
                  <w:pPr>
                    <w:rPr>
                      <w:rFonts w:ascii="Arial" w:hAnsi="Arial" w:eastAsia="宋体" w:cs="Arial"/>
                    </w:rPr>
                  </w:pPr>
                  <w:r>
                    <w:rPr>
                      <w:rFonts w:hint="eastAsia" w:ascii="Calibri" w:hAnsi="Calibri" w:eastAsia="宋体" w:cs="Times New Roman"/>
                    </w:rPr>
                    <w:t>室内</w:t>
                  </w:r>
                  <w:r>
                    <w:rPr>
                      <w:rFonts w:ascii="Calibri" w:hAnsi="Calibri" w:eastAsia="宋体" w:cs="Times New Roman"/>
                    </w:rPr>
                    <w:t>装饰</w:t>
                  </w:r>
                  <w:r>
                    <w:rPr>
                      <w:rFonts w:hint="eastAsia" w:ascii="Calibri" w:hAnsi="Calibri" w:eastAsia="宋体" w:cs="Times New Roman"/>
                    </w:rPr>
                    <w:t>服务</w:t>
                  </w:r>
                </w:p>
              </w:tc>
              <w:tc>
                <w:tcPr>
                  <w:tcW w:w="1701" w:type="dxa"/>
                  <w:tcBorders>
                    <w:top w:val="single" w:color="auto" w:sz="4" w:space="0"/>
                    <w:left w:val="single" w:color="auto" w:sz="4" w:space="0"/>
                    <w:bottom w:val="single" w:color="auto" w:sz="4" w:space="0"/>
                    <w:right w:val="single" w:color="auto" w:sz="4" w:space="0"/>
                  </w:tcBorders>
                </w:tcPr>
                <w:p>
                  <w:pPr>
                    <w:rPr>
                      <w:rFonts w:ascii="Arial" w:hAnsi="Arial" w:eastAsia="宋体" w:cs="Arial"/>
                    </w:rPr>
                  </w:pPr>
                  <w:r>
                    <w:rPr>
                      <w:rFonts w:hint="eastAsia"/>
                      <w:bCs/>
                    </w:rPr>
                    <w:t>深圳市建艺装饰集团股份有限公司</w:t>
                  </w:r>
                </w:p>
              </w:tc>
              <w:tc>
                <w:tcPr>
                  <w:tcW w:w="2583" w:type="dxa"/>
                  <w:tcBorders>
                    <w:top w:val="single" w:color="auto" w:sz="4" w:space="0"/>
                    <w:left w:val="single" w:color="auto" w:sz="4" w:space="0"/>
                    <w:bottom w:val="single" w:color="auto" w:sz="4" w:space="0"/>
                    <w:right w:val="single" w:color="auto" w:sz="4" w:space="0"/>
                  </w:tcBorders>
                </w:tcPr>
                <w:p>
                  <w:pPr>
                    <w:rPr>
                      <w:rFonts w:ascii="Arial" w:hAnsi="Arial" w:eastAsia="宋体" w:cs="Arial"/>
                    </w:rPr>
                  </w:pPr>
                  <w:r>
                    <w:rPr>
                      <w:rFonts w:ascii="Arial" w:hAnsi="Arial" w:eastAsia="宋体" w:cs="Arial"/>
                    </w:rPr>
                    <w:t>低于</w:t>
                  </w:r>
                  <w:r>
                    <w:rPr>
                      <w:rFonts w:hint="eastAsia" w:ascii="Arial" w:hAnsi="Arial" w:eastAsia="宋体" w:cs="Arial"/>
                      <w:lang w:val="en-US" w:eastAsia="zh-CN"/>
                    </w:rPr>
                    <w:t>1</w:t>
                  </w:r>
                  <w:bookmarkStart w:id="1" w:name="_GoBack"/>
                  <w:bookmarkEnd w:id="1"/>
                  <w:r>
                    <w:rPr>
                      <w:rFonts w:ascii="Arial" w:hAnsi="Arial" w:eastAsia="宋体" w:cs="Arial"/>
                    </w:rPr>
                    <w:t>%</w:t>
                  </w:r>
                </w:p>
              </w:tc>
            </w:tr>
          </w:tbl>
          <w:p>
            <w:pPr>
              <w:spacing w:before="156" w:beforeLines="50" w:after="156" w:afterLines="50"/>
              <w:rPr>
                <w:rFonts w:ascii="Arial" w:hAnsi="Arial" w:eastAsia="宋体" w:cs="Arial"/>
                <w:sz w:val="24"/>
                <w:szCs w:val="24"/>
                <w:u w:val="single"/>
              </w:rPr>
            </w:pPr>
          </w:p>
        </w:tc>
      </w:tr>
    </w:tbl>
    <w:p>
      <w:pPr>
        <w:widowControl/>
        <w:shd w:val="clear" w:color="auto" w:fill="FFFFFF"/>
        <w:spacing w:line="375" w:lineRule="atLeast"/>
        <w:jc w:val="left"/>
        <w:rPr>
          <w:rFonts w:ascii="Arial" w:hAnsi="Arial" w:eastAsia="宋体" w:cs="Arial"/>
          <w:sz w:val="28"/>
          <w:szCs w:val="28"/>
        </w:rPr>
      </w:pPr>
    </w:p>
    <w:p>
      <w:pPr>
        <w:snapToGrid w:val="0"/>
        <w:spacing w:line="240" w:lineRule="exact"/>
        <w:jc w:val="left"/>
        <w:rPr>
          <w:rFonts w:ascii="Arial" w:hAnsi="Arial" w:eastAsia="宋体" w:cs="Arial"/>
          <w:sz w:val="24"/>
          <w:szCs w:val="24"/>
        </w:rPr>
      </w:pPr>
      <w:r>
        <w:rPr>
          <w:rFonts w:ascii="Arial" w:hAnsi="Arial" w:eastAsia="宋体" w:cs="Arial"/>
          <w:sz w:val="24"/>
          <w:szCs w:val="24"/>
        </w:rPr>
        <w:t>注解：</w:t>
      </w:r>
    </w:p>
    <w:p>
      <w:pPr>
        <w:snapToGrid w:val="0"/>
        <w:spacing w:line="360" w:lineRule="auto"/>
        <w:ind w:firstLine="480" w:firstLineChars="200"/>
        <w:jc w:val="left"/>
        <w:rPr>
          <w:rFonts w:ascii="Arial" w:hAnsi="Arial" w:eastAsia="宋体" w:cs="Arial"/>
          <w:sz w:val="24"/>
          <w:szCs w:val="24"/>
        </w:rPr>
      </w:pPr>
      <w:r>
        <w:rPr>
          <w:rFonts w:ascii="Arial" w:hAnsi="Arial" w:eastAsia="宋体" w:cs="Arial"/>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pPr>
        <w:spacing w:line="360" w:lineRule="auto"/>
        <w:ind w:firstLine="480" w:firstLineChars="200"/>
        <w:rPr>
          <w:rFonts w:ascii="Arial" w:hAnsi="Arial" w:eastAsia="宋体" w:cs="Arial"/>
          <w:sz w:val="28"/>
          <w:szCs w:val="28"/>
        </w:rPr>
      </w:pPr>
      <w:r>
        <w:rPr>
          <w:rFonts w:ascii="Arial" w:hAnsi="Arial" w:eastAsia="宋体" w:cs="Arial"/>
          <w:sz w:val="24"/>
          <w:szCs w:val="24"/>
        </w:rPr>
        <w:t>2、申报方申请简易案件的理由是基于第4项、第5项时，无须在备注中说明相关市场和市场份额。</w:t>
      </w:r>
      <w:r>
        <w:rPr>
          <w:rFonts w:ascii="Arial" w:hAnsi="Arial" w:eastAsia="宋体" w:cs="Arial"/>
          <w:sz w:val="24"/>
          <w:szCs w:val="24"/>
        </w:rPr>
        <w:br w:type="textWrapping"/>
      </w:r>
      <w:r>
        <w:rPr>
          <w:rFonts w:ascii="Arial" w:hAnsi="Arial" w:eastAsia="宋体" w:cs="Arial"/>
          <w:sz w:val="24"/>
          <w:szCs w:val="24"/>
        </w:rP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CESI仿宋-GB2312">
    <w:panose1 w:val="02000500000000000000"/>
    <w:charset w:val="86"/>
    <w:family w:val="auto"/>
    <w:pitch w:val="default"/>
    <w:sig w:usb0="800002AF" w:usb1="084F6CF8" w:usb2="00000010" w:usb3="00000000" w:csb0="0004000F"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Wingdings 2">
    <w:panose1 w:val="05020102010507070707"/>
    <w:charset w:val="02"/>
    <w:family w:val="roman"/>
    <w:pitch w:val="default"/>
    <w:sig w:usb0="00000000" w:usb1="00000000" w:usb2="00000000" w:usb3="00000000" w:csb0="80000000" w:csb1="00000000"/>
  </w:font>
  <w:font w:name="Microsoft YaHei">
    <w:altName w:val="黑体"/>
    <w:panose1 w:val="00000000000000000000"/>
    <w:charset w:val="00"/>
    <w:family w:val="auto"/>
    <w:pitch w:val="default"/>
    <w:sig w:usb0="00000000" w:usb1="00000000" w:usb2="00000000" w:usb3="00000000" w:csb0="00000000" w:csb1="00000000"/>
  </w:font>
  <w:font w:name="Tahoma">
    <w:altName w:val="Droid Sans"/>
    <w:panose1 w:val="00000000000000000000"/>
    <w:charset w:val="00"/>
    <w:family w:val="auto"/>
    <w:pitch w:val="default"/>
    <w:sig w:usb0="00000000" w:usb1="00000000" w:usb2="00000000" w:usb3="00000000" w:csb0="00000000" w:csb1="00000000"/>
  </w:font>
  <w:font w:name="仿宋_GB2312">
    <w:panose1 w:val="02010609030101010101"/>
    <w:charset w:val="86"/>
    <w:family w:val="modern"/>
    <w:pitch w:val="default"/>
    <w:sig w:usb0="00000001" w:usb1="080E0000" w:usb2="00000000" w:usb3="00000000" w:csb0="00040000" w:csb1="00000000"/>
  </w:font>
  <w:font w:name="Droid Sans">
    <w:panose1 w:val="020B0606030804020204"/>
    <w:charset w:val="00"/>
    <w:family w:val="auto"/>
    <w:pitch w:val="default"/>
    <w:sig w:usb0="E00002EF" w:usb1="4000205B" w:usb2="00000028"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4095"/>
    <w:rsid w:val="00005696"/>
    <w:rsid w:val="00011005"/>
    <w:rsid w:val="00017EAA"/>
    <w:rsid w:val="00030D29"/>
    <w:rsid w:val="00033A90"/>
    <w:rsid w:val="00036704"/>
    <w:rsid w:val="00036E36"/>
    <w:rsid w:val="00045B51"/>
    <w:rsid w:val="00067117"/>
    <w:rsid w:val="000723FA"/>
    <w:rsid w:val="00094095"/>
    <w:rsid w:val="000B3DCC"/>
    <w:rsid w:val="000D65B3"/>
    <w:rsid w:val="000E5321"/>
    <w:rsid w:val="000F02F4"/>
    <w:rsid w:val="000F1EBD"/>
    <w:rsid w:val="000F1FFF"/>
    <w:rsid w:val="001040B0"/>
    <w:rsid w:val="00105018"/>
    <w:rsid w:val="00106574"/>
    <w:rsid w:val="001325B0"/>
    <w:rsid w:val="001524B9"/>
    <w:rsid w:val="00171A7E"/>
    <w:rsid w:val="00171CA3"/>
    <w:rsid w:val="00175239"/>
    <w:rsid w:val="001767D1"/>
    <w:rsid w:val="00177D93"/>
    <w:rsid w:val="00194FF0"/>
    <w:rsid w:val="00195985"/>
    <w:rsid w:val="00197DF4"/>
    <w:rsid w:val="001A3F82"/>
    <w:rsid w:val="001C1AB3"/>
    <w:rsid w:val="001F5F0B"/>
    <w:rsid w:val="002019A9"/>
    <w:rsid w:val="00207E74"/>
    <w:rsid w:val="00213872"/>
    <w:rsid w:val="00216BD5"/>
    <w:rsid w:val="00237ACA"/>
    <w:rsid w:val="00241CE5"/>
    <w:rsid w:val="00275A3D"/>
    <w:rsid w:val="00285FA8"/>
    <w:rsid w:val="00293095"/>
    <w:rsid w:val="002942BA"/>
    <w:rsid w:val="002A5F57"/>
    <w:rsid w:val="002C5670"/>
    <w:rsid w:val="002C5CE5"/>
    <w:rsid w:val="002D762D"/>
    <w:rsid w:val="002F1D1F"/>
    <w:rsid w:val="00304A5A"/>
    <w:rsid w:val="00311F24"/>
    <w:rsid w:val="00321DDB"/>
    <w:rsid w:val="00346A30"/>
    <w:rsid w:val="003657F1"/>
    <w:rsid w:val="0036691B"/>
    <w:rsid w:val="0037030B"/>
    <w:rsid w:val="00371541"/>
    <w:rsid w:val="0037565E"/>
    <w:rsid w:val="00386FBD"/>
    <w:rsid w:val="003C4817"/>
    <w:rsid w:val="003D3A30"/>
    <w:rsid w:val="00426458"/>
    <w:rsid w:val="00430537"/>
    <w:rsid w:val="00451A0F"/>
    <w:rsid w:val="00452171"/>
    <w:rsid w:val="00462174"/>
    <w:rsid w:val="00486AAC"/>
    <w:rsid w:val="004A1DAC"/>
    <w:rsid w:val="004A7139"/>
    <w:rsid w:val="004C5BC1"/>
    <w:rsid w:val="004D47CE"/>
    <w:rsid w:val="004E77F9"/>
    <w:rsid w:val="004F5075"/>
    <w:rsid w:val="00501EFD"/>
    <w:rsid w:val="00510CFD"/>
    <w:rsid w:val="00523F2F"/>
    <w:rsid w:val="005241C9"/>
    <w:rsid w:val="00535D98"/>
    <w:rsid w:val="00546866"/>
    <w:rsid w:val="00554252"/>
    <w:rsid w:val="0056050E"/>
    <w:rsid w:val="00580FA9"/>
    <w:rsid w:val="0059755E"/>
    <w:rsid w:val="005B52E5"/>
    <w:rsid w:val="005B65F3"/>
    <w:rsid w:val="005F03C4"/>
    <w:rsid w:val="005F1B7A"/>
    <w:rsid w:val="00620015"/>
    <w:rsid w:val="006276BC"/>
    <w:rsid w:val="00634708"/>
    <w:rsid w:val="00635C19"/>
    <w:rsid w:val="00637C57"/>
    <w:rsid w:val="006451C2"/>
    <w:rsid w:val="00662633"/>
    <w:rsid w:val="006652D0"/>
    <w:rsid w:val="006654A7"/>
    <w:rsid w:val="006846BF"/>
    <w:rsid w:val="00685065"/>
    <w:rsid w:val="006957F3"/>
    <w:rsid w:val="006A6AC4"/>
    <w:rsid w:val="006A797E"/>
    <w:rsid w:val="006C5258"/>
    <w:rsid w:val="006D4B4A"/>
    <w:rsid w:val="006E257B"/>
    <w:rsid w:val="00701EA9"/>
    <w:rsid w:val="00705BDA"/>
    <w:rsid w:val="0070608E"/>
    <w:rsid w:val="00720402"/>
    <w:rsid w:val="007313D6"/>
    <w:rsid w:val="0073164C"/>
    <w:rsid w:val="00754657"/>
    <w:rsid w:val="00757FB5"/>
    <w:rsid w:val="007722D1"/>
    <w:rsid w:val="00775DF3"/>
    <w:rsid w:val="00785BD0"/>
    <w:rsid w:val="00786977"/>
    <w:rsid w:val="00790721"/>
    <w:rsid w:val="007B16FF"/>
    <w:rsid w:val="007B6451"/>
    <w:rsid w:val="007D7231"/>
    <w:rsid w:val="007E5FD7"/>
    <w:rsid w:val="007F57CA"/>
    <w:rsid w:val="00826865"/>
    <w:rsid w:val="00840197"/>
    <w:rsid w:val="00855AAA"/>
    <w:rsid w:val="0087560B"/>
    <w:rsid w:val="008A3E1D"/>
    <w:rsid w:val="008C750D"/>
    <w:rsid w:val="009110AB"/>
    <w:rsid w:val="009119FA"/>
    <w:rsid w:val="0091664B"/>
    <w:rsid w:val="00922EB4"/>
    <w:rsid w:val="00931D92"/>
    <w:rsid w:val="00932EB0"/>
    <w:rsid w:val="009953F7"/>
    <w:rsid w:val="00A06186"/>
    <w:rsid w:val="00A06DD0"/>
    <w:rsid w:val="00A32894"/>
    <w:rsid w:val="00A40882"/>
    <w:rsid w:val="00A522F2"/>
    <w:rsid w:val="00A527D7"/>
    <w:rsid w:val="00A827A2"/>
    <w:rsid w:val="00A837A6"/>
    <w:rsid w:val="00A95A4A"/>
    <w:rsid w:val="00AA09C8"/>
    <w:rsid w:val="00AA0BA9"/>
    <w:rsid w:val="00AA2EDD"/>
    <w:rsid w:val="00AB0B34"/>
    <w:rsid w:val="00AB68C0"/>
    <w:rsid w:val="00AC5674"/>
    <w:rsid w:val="00AD5434"/>
    <w:rsid w:val="00AF57E8"/>
    <w:rsid w:val="00B14A60"/>
    <w:rsid w:val="00B4623D"/>
    <w:rsid w:val="00B557A7"/>
    <w:rsid w:val="00B66B30"/>
    <w:rsid w:val="00B709A7"/>
    <w:rsid w:val="00B83847"/>
    <w:rsid w:val="00BA6397"/>
    <w:rsid w:val="00BB5805"/>
    <w:rsid w:val="00BD7C95"/>
    <w:rsid w:val="00BE2C6B"/>
    <w:rsid w:val="00BE3B3D"/>
    <w:rsid w:val="00BE525A"/>
    <w:rsid w:val="00BF5623"/>
    <w:rsid w:val="00BF6B5B"/>
    <w:rsid w:val="00C05A5C"/>
    <w:rsid w:val="00C1086E"/>
    <w:rsid w:val="00C135F3"/>
    <w:rsid w:val="00C15EA3"/>
    <w:rsid w:val="00C17B41"/>
    <w:rsid w:val="00C54668"/>
    <w:rsid w:val="00C61663"/>
    <w:rsid w:val="00C61FAC"/>
    <w:rsid w:val="00CA3DFA"/>
    <w:rsid w:val="00CA4C4F"/>
    <w:rsid w:val="00CB768D"/>
    <w:rsid w:val="00CC1F71"/>
    <w:rsid w:val="00CD497E"/>
    <w:rsid w:val="00CF5ABF"/>
    <w:rsid w:val="00D30F22"/>
    <w:rsid w:val="00D468F9"/>
    <w:rsid w:val="00D60D14"/>
    <w:rsid w:val="00D74C01"/>
    <w:rsid w:val="00D97082"/>
    <w:rsid w:val="00DA1B9F"/>
    <w:rsid w:val="00DC736B"/>
    <w:rsid w:val="00DD5F11"/>
    <w:rsid w:val="00DF6907"/>
    <w:rsid w:val="00E157A0"/>
    <w:rsid w:val="00E256CD"/>
    <w:rsid w:val="00E33E0C"/>
    <w:rsid w:val="00E45984"/>
    <w:rsid w:val="00E47FEA"/>
    <w:rsid w:val="00E5321F"/>
    <w:rsid w:val="00E62773"/>
    <w:rsid w:val="00E6529B"/>
    <w:rsid w:val="00E679D3"/>
    <w:rsid w:val="00E92062"/>
    <w:rsid w:val="00E9231C"/>
    <w:rsid w:val="00E929CE"/>
    <w:rsid w:val="00E941FA"/>
    <w:rsid w:val="00ED1CF4"/>
    <w:rsid w:val="00EE4A8B"/>
    <w:rsid w:val="00F102F3"/>
    <w:rsid w:val="00F17B0D"/>
    <w:rsid w:val="00F511EE"/>
    <w:rsid w:val="00F52CDE"/>
    <w:rsid w:val="00F74B7D"/>
    <w:rsid w:val="00F77541"/>
    <w:rsid w:val="00F87C1F"/>
    <w:rsid w:val="00FA4325"/>
    <w:rsid w:val="00FA64CA"/>
    <w:rsid w:val="00FB1A80"/>
    <w:rsid w:val="00FB5B2B"/>
    <w:rsid w:val="00FC398E"/>
    <w:rsid w:val="00FE07DB"/>
    <w:rsid w:val="4E127AAC"/>
    <w:rsid w:val="6F7E6434"/>
    <w:rsid w:val="D7DA1807"/>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endnote text"/>
    <w:basedOn w:val="1"/>
    <w:link w:val="11"/>
    <w:semiHidden/>
    <w:unhideWhenUsed/>
    <w:qFormat/>
    <w:uiPriority w:val="99"/>
    <w:pPr>
      <w:snapToGrid w:val="0"/>
      <w:jc w:val="left"/>
    </w:pPr>
  </w:style>
  <w:style w:type="paragraph" w:styleId="3">
    <w:name w:val="Balloon Text"/>
    <w:basedOn w:val="1"/>
    <w:link w:val="15"/>
    <w:semiHidden/>
    <w:unhideWhenUsed/>
    <w:qFormat/>
    <w:uiPriority w:val="99"/>
    <w:rPr>
      <w:sz w:val="18"/>
      <w:szCs w:val="18"/>
    </w:rPr>
  </w:style>
  <w:style w:type="paragraph" w:styleId="4">
    <w:name w:val="footer"/>
    <w:basedOn w:val="1"/>
    <w:link w:val="13"/>
    <w:unhideWhenUsed/>
    <w:qFormat/>
    <w:uiPriority w:val="99"/>
    <w:pPr>
      <w:tabs>
        <w:tab w:val="center" w:pos="4153"/>
        <w:tab w:val="right" w:pos="8306"/>
      </w:tabs>
      <w:snapToGrid w:val="0"/>
      <w:jc w:val="left"/>
    </w:pPr>
    <w:rPr>
      <w:sz w:val="18"/>
      <w:szCs w:val="18"/>
    </w:rPr>
  </w:style>
  <w:style w:type="paragraph" w:styleId="5">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endnote reference"/>
    <w:basedOn w:val="8"/>
    <w:semiHidden/>
    <w:unhideWhenUsed/>
    <w:qFormat/>
    <w:uiPriority w:val="99"/>
    <w:rPr>
      <w:vertAlign w:val="superscript"/>
    </w:rPr>
  </w:style>
  <w:style w:type="character" w:styleId="10">
    <w:name w:val="Hyperlink"/>
    <w:basedOn w:val="8"/>
    <w:semiHidden/>
    <w:unhideWhenUsed/>
    <w:qFormat/>
    <w:uiPriority w:val="99"/>
    <w:rPr>
      <w:color w:val="0000FF"/>
      <w:u w:val="single"/>
    </w:rPr>
  </w:style>
  <w:style w:type="character" w:customStyle="1" w:styleId="11">
    <w:name w:val="尾注文本 字符"/>
    <w:basedOn w:val="8"/>
    <w:link w:val="2"/>
    <w:semiHidden/>
    <w:qFormat/>
    <w:uiPriority w:val="99"/>
  </w:style>
  <w:style w:type="character" w:customStyle="1" w:styleId="12">
    <w:name w:val="页眉 字符"/>
    <w:basedOn w:val="8"/>
    <w:link w:val="5"/>
    <w:qFormat/>
    <w:uiPriority w:val="99"/>
    <w:rPr>
      <w:sz w:val="18"/>
      <w:szCs w:val="18"/>
    </w:rPr>
  </w:style>
  <w:style w:type="character" w:customStyle="1" w:styleId="13">
    <w:name w:val="页脚 字符"/>
    <w:basedOn w:val="8"/>
    <w:link w:val="4"/>
    <w:qFormat/>
    <w:uiPriority w:val="99"/>
    <w:rPr>
      <w:sz w:val="18"/>
      <w:szCs w:val="18"/>
    </w:rPr>
  </w:style>
  <w:style w:type="paragraph" w:styleId="14">
    <w:name w:val="List Paragraph"/>
    <w:basedOn w:val="1"/>
    <w:qFormat/>
    <w:uiPriority w:val="34"/>
    <w:pPr>
      <w:ind w:firstLine="420" w:firstLineChars="200"/>
    </w:pPr>
  </w:style>
  <w:style w:type="character" w:customStyle="1" w:styleId="15">
    <w:name w:val="批注框文本 字符"/>
    <w:basedOn w:val="8"/>
    <w:link w:val="3"/>
    <w:semiHidden/>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2</Pages>
  <Words>175</Words>
  <Characters>999</Characters>
  <Lines>8</Lines>
  <Paragraphs>2</Paragraphs>
  <TotalTime>1</TotalTime>
  <ScaleCrop>false</ScaleCrop>
  <LinksUpToDate>false</LinksUpToDate>
  <CharactersWithSpaces>1172</CharactersWithSpaces>
  <Application>WPS Office_11.8.2.9695_F1E327BC-269C-435d-A152-05C5408002CA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2021-11-15T21:36:00Z</dcterms:created>
  <dc:creator>dell</dc:creator>
  <cp:lastModifiedBy>greatwall</cp:lastModifiedBy>
  <dcterms:modified xsi:type="dcterms:W3CDTF">2021-11-29T10:40:47Z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2052-11.8.2.9695</vt:lpwstr>
  </property>
</Properties>
</file>