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常德市城市发展集团有限公司收购浙江众成包装材料股份有限公司股权案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浙江众成包装材料股份有限公司（以下简称“浙江众成”）实际控制人陈大魁通过协议转让的方式向常德市城市发展集团有限公司（以下简称“常德城发”）转让其持有的浙江众成226,444,847股股份（占浙江众成总股本的2</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%），本次交易完成后，常德城发将取得浙江众成的控制权。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1、常德市城市发展集团有限公司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常德城发成立于</w:t>
            </w:r>
            <w:r>
              <w:rPr>
                <w:rFonts w:ascii="仿宋" w:hAnsi="仿宋" w:eastAsia="仿宋" w:cs="宋体"/>
                <w:color w:val="333333"/>
                <w:kern w:val="0"/>
                <w:sz w:val="24"/>
                <w:szCs w:val="24"/>
              </w:rPr>
              <w:t>2019</w:t>
            </w:r>
            <w:r>
              <w:rPr>
                <w:rFonts w:hint="eastAsia" w:ascii="仿宋" w:hAnsi="仿宋" w:eastAsia="仿宋" w:cs="宋体"/>
                <w:color w:val="333333"/>
                <w:kern w:val="0"/>
                <w:sz w:val="24"/>
                <w:szCs w:val="24"/>
              </w:rPr>
              <w:t>年</w:t>
            </w:r>
            <w:r>
              <w:rPr>
                <w:rFonts w:ascii="仿宋" w:hAnsi="仿宋" w:eastAsia="仿宋" w:cs="宋体"/>
                <w:color w:val="333333"/>
                <w:kern w:val="0"/>
                <w:sz w:val="24"/>
                <w:szCs w:val="24"/>
              </w:rPr>
              <w:t>10</w:t>
            </w:r>
            <w:r>
              <w:rPr>
                <w:rFonts w:hint="eastAsia" w:ascii="仿宋" w:hAnsi="仿宋" w:eastAsia="仿宋" w:cs="宋体"/>
                <w:color w:val="333333"/>
                <w:kern w:val="0"/>
                <w:sz w:val="24"/>
                <w:szCs w:val="24"/>
              </w:rPr>
              <w:t>月</w:t>
            </w:r>
            <w:r>
              <w:rPr>
                <w:rFonts w:ascii="仿宋" w:hAnsi="仿宋" w:eastAsia="仿宋" w:cs="宋体"/>
                <w:color w:val="333333"/>
                <w:kern w:val="0"/>
                <w:sz w:val="24"/>
                <w:szCs w:val="24"/>
              </w:rPr>
              <w:t>30</w:t>
            </w:r>
            <w:r>
              <w:rPr>
                <w:rFonts w:hint="eastAsia" w:ascii="仿宋" w:hAnsi="仿宋" w:eastAsia="仿宋" w:cs="宋体"/>
                <w:color w:val="333333"/>
                <w:kern w:val="0"/>
                <w:sz w:val="24"/>
                <w:szCs w:val="24"/>
              </w:rPr>
              <w:t>日，系常德市人民政府国有资产监督管理委员会全资控股平台子公司，业务涵盖城市投资、交通投资、建设施工、开发、文化旅游、服务贸易六大板块，主要业务包含城市基础设施投资建设、房地产开发、建设施工、公共资产运营、文化旅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2、浙江众成包装材料股份有限公司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浙江众成成立于</w:t>
            </w:r>
            <w:r>
              <w:rPr>
                <w:rFonts w:ascii="仿宋" w:hAnsi="仿宋" w:eastAsia="仿宋" w:cs="宋体"/>
                <w:color w:val="333333"/>
                <w:kern w:val="0"/>
                <w:sz w:val="24"/>
                <w:szCs w:val="24"/>
              </w:rPr>
              <w:t>2001</w:t>
            </w:r>
            <w:r>
              <w:rPr>
                <w:rFonts w:hint="eastAsia" w:ascii="仿宋" w:hAnsi="仿宋" w:eastAsia="仿宋" w:cs="宋体"/>
                <w:color w:val="333333"/>
                <w:kern w:val="0"/>
                <w:sz w:val="24"/>
                <w:szCs w:val="24"/>
              </w:rPr>
              <w:t>年</w:t>
            </w:r>
            <w:r>
              <w:rPr>
                <w:rFonts w:ascii="仿宋" w:hAnsi="仿宋" w:eastAsia="仿宋" w:cs="宋体"/>
                <w:color w:val="333333"/>
                <w:kern w:val="0"/>
                <w:sz w:val="24"/>
                <w:szCs w:val="24"/>
              </w:rPr>
              <w:t>10</w:t>
            </w:r>
            <w:r>
              <w:rPr>
                <w:rFonts w:hint="eastAsia" w:ascii="仿宋" w:hAnsi="仿宋" w:eastAsia="仿宋" w:cs="宋体"/>
                <w:color w:val="333333"/>
                <w:kern w:val="0"/>
                <w:sz w:val="24"/>
                <w:szCs w:val="24"/>
              </w:rPr>
              <w:t>月</w:t>
            </w:r>
            <w:r>
              <w:rPr>
                <w:rFonts w:ascii="仿宋" w:hAnsi="仿宋" w:eastAsia="仿宋" w:cs="宋体"/>
                <w:color w:val="333333"/>
                <w:kern w:val="0"/>
                <w:sz w:val="24"/>
                <w:szCs w:val="24"/>
              </w:rPr>
              <w:t>23</w:t>
            </w:r>
            <w:r>
              <w:rPr>
                <w:rFonts w:hint="eastAsia" w:ascii="仿宋" w:hAnsi="仿宋" w:eastAsia="仿宋" w:cs="宋体"/>
                <w:color w:val="333333"/>
                <w:kern w:val="0"/>
                <w:sz w:val="24"/>
                <w:szCs w:val="24"/>
              </w:rPr>
              <w:t>日，系深圳证券交易所上市公司，股票简称为“浙江众成”，股票代码为“</w:t>
            </w:r>
            <w:r>
              <w:rPr>
                <w:rFonts w:ascii="仿宋" w:hAnsi="仿宋" w:eastAsia="仿宋" w:cs="宋体"/>
                <w:color w:val="333333"/>
                <w:kern w:val="0"/>
                <w:sz w:val="24"/>
                <w:szCs w:val="24"/>
              </w:rPr>
              <w:t>002522</w:t>
            </w:r>
            <w:r>
              <w:rPr>
                <w:rFonts w:hint="eastAsia" w:ascii="仿宋" w:hAnsi="仿宋" w:eastAsia="仿宋" w:cs="宋体"/>
                <w:color w:val="333333"/>
                <w:kern w:val="0"/>
                <w:sz w:val="24"/>
                <w:szCs w:val="24"/>
              </w:rPr>
              <w:t>”，公司主要业务包含多层共挤聚烯烃热收缩薄膜（简称“POF热收缩膜”）、苯乙烯类热塑性弹性体的研发、生产及销售。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黑体" w:eastAsia="黑体"/>
                <w:szCs w:val="21"/>
              </w:rPr>
              <w:sym w:font="Wingdings" w:char="F0FE"/>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1502"/>
              <w:gridCol w:w="1641"/>
              <w:gridCol w:w="1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13" w:type="dxa"/>
                  <w:gridSpan w:val="2"/>
                  <w:vAlign w:val="center"/>
                </w:tcPr>
                <w:p>
                  <w:pPr>
                    <w:spacing w:line="4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相关市场</w:t>
                  </w:r>
                </w:p>
              </w:tc>
              <w:tc>
                <w:tcPr>
                  <w:tcW w:w="1641" w:type="dxa"/>
                  <w:vAlign w:val="center"/>
                </w:tcPr>
                <w:p>
                  <w:pPr>
                    <w:spacing w:line="4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常德城发</w:t>
                  </w:r>
                </w:p>
              </w:tc>
              <w:tc>
                <w:tcPr>
                  <w:tcW w:w="1769" w:type="dxa"/>
                  <w:vAlign w:val="center"/>
                </w:tcPr>
                <w:p>
                  <w:pPr>
                    <w:spacing w:line="4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浙江众成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pPr>
                    <w:spacing w:line="4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多层共挤聚烯烃热收缩薄膜</w:t>
                  </w:r>
                </w:p>
              </w:tc>
              <w:tc>
                <w:tcPr>
                  <w:tcW w:w="1502" w:type="dxa"/>
                  <w:vAlign w:val="center"/>
                </w:tcPr>
                <w:p>
                  <w:pPr>
                    <w:spacing w:line="400" w:lineRule="exact"/>
                    <w:jc w:val="center"/>
                    <w:rPr>
                      <w:rFonts w:hint="eastAsia" w:ascii="仿宋" w:hAnsi="仿宋" w:eastAsia="仿宋" w:cs="宋体"/>
                      <w:color w:val="333333"/>
                      <w:kern w:val="0"/>
                      <w:sz w:val="24"/>
                      <w:szCs w:val="24"/>
                    </w:rPr>
                  </w:pPr>
                  <w:r>
                    <w:rPr>
                      <w:rFonts w:ascii="仿宋" w:hAnsi="仿宋" w:eastAsia="仿宋" w:cs="宋体"/>
                      <w:color w:val="333333"/>
                      <w:kern w:val="0"/>
                      <w:sz w:val="24"/>
                      <w:szCs w:val="24"/>
                    </w:rPr>
                    <w:t>全球</w:t>
                  </w:r>
                </w:p>
              </w:tc>
              <w:tc>
                <w:tcPr>
                  <w:tcW w:w="1641" w:type="dxa"/>
                  <w:vAlign w:val="center"/>
                </w:tcPr>
                <w:p>
                  <w:pPr>
                    <w:spacing w:line="4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0%</w:t>
                  </w:r>
                </w:p>
              </w:tc>
              <w:tc>
                <w:tcPr>
                  <w:tcW w:w="1769" w:type="dxa"/>
                  <w:vAlign w:val="center"/>
                </w:tcPr>
                <w:p>
                  <w:pPr>
                    <w:spacing w:line="4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1" w:type="dxa"/>
                  <w:vAlign w:val="center"/>
                </w:tcPr>
                <w:p>
                  <w:pPr>
                    <w:spacing w:line="4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苯乙烯类热塑性弹性体</w:t>
                  </w:r>
                  <w:bookmarkStart w:id="0" w:name="_GoBack"/>
                  <w:bookmarkEnd w:id="0"/>
                </w:p>
              </w:tc>
              <w:tc>
                <w:tcPr>
                  <w:tcW w:w="1502" w:type="dxa"/>
                  <w:vAlign w:val="center"/>
                </w:tcPr>
                <w:p>
                  <w:pPr>
                    <w:spacing w:line="4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中国境内</w:t>
                  </w:r>
                </w:p>
              </w:tc>
              <w:tc>
                <w:tcPr>
                  <w:tcW w:w="1641" w:type="dxa"/>
                  <w:vAlign w:val="center"/>
                </w:tcPr>
                <w:p>
                  <w:pPr>
                    <w:spacing w:line="4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0%</w:t>
                  </w:r>
                </w:p>
              </w:tc>
              <w:tc>
                <w:tcPr>
                  <w:tcW w:w="1769" w:type="dxa"/>
                  <w:vAlign w:val="center"/>
                </w:tcPr>
                <w:p>
                  <w:pPr>
                    <w:spacing w:line="400" w:lineRule="exact"/>
                    <w:jc w:val="center"/>
                    <w:rPr>
                      <w:rFonts w:ascii="仿宋" w:hAnsi="仿宋" w:eastAsia="仿宋" w:cs="宋体"/>
                      <w:color w:val="333333"/>
                      <w:kern w:val="0"/>
                      <w:sz w:val="24"/>
                      <w:szCs w:val="24"/>
                    </w:rPr>
                  </w:pPr>
                  <w:r>
                    <w:rPr>
                      <w:rFonts w:ascii="仿宋" w:hAnsi="仿宋" w:eastAsia="仿宋" w:cs="宋体"/>
                      <w:color w:val="333333"/>
                      <w:kern w:val="0"/>
                      <w:sz w:val="24"/>
                      <w:szCs w:val="24"/>
                    </w:rPr>
                    <w:t>0-5%</w:t>
                  </w:r>
                </w:p>
              </w:tc>
            </w:tr>
          </w:tbl>
          <w:p>
            <w:pPr>
              <w:spacing w:line="500" w:lineRule="exact"/>
              <w:rPr>
                <w:rFonts w:ascii="仿宋" w:hAnsi="仿宋" w:eastAsia="仿宋" w:cs="宋体"/>
                <w:color w:val="333333"/>
                <w:kern w:val="0"/>
                <w:sz w:val="24"/>
                <w:szCs w:val="24"/>
              </w:rPr>
            </w:pPr>
          </w:p>
          <w:p>
            <w:pPr>
              <w:spacing w:line="500" w:lineRule="exact"/>
              <w:rPr>
                <w:rFonts w:ascii="仿宋" w:hAnsi="仿宋" w:eastAsia="仿宋" w:cs="宋体"/>
                <w:color w:val="333333"/>
                <w:kern w:val="0"/>
                <w:sz w:val="24"/>
                <w:szCs w:val="24"/>
              </w:rPr>
            </w:pP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00"/>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12209"/>
    <w:rsid w:val="00035144"/>
    <w:rsid w:val="00037065"/>
    <w:rsid w:val="00076BC2"/>
    <w:rsid w:val="000939C7"/>
    <w:rsid w:val="000B5417"/>
    <w:rsid w:val="000B6CA7"/>
    <w:rsid w:val="000C3C13"/>
    <w:rsid w:val="000C557A"/>
    <w:rsid w:val="000C6534"/>
    <w:rsid w:val="000D7EBA"/>
    <w:rsid w:val="000F23AE"/>
    <w:rsid w:val="00103422"/>
    <w:rsid w:val="00112CFA"/>
    <w:rsid w:val="001164CD"/>
    <w:rsid w:val="00116EEA"/>
    <w:rsid w:val="001325C3"/>
    <w:rsid w:val="001423B5"/>
    <w:rsid w:val="00155717"/>
    <w:rsid w:val="001837A3"/>
    <w:rsid w:val="001E6D1D"/>
    <w:rsid w:val="00221E2F"/>
    <w:rsid w:val="00285B21"/>
    <w:rsid w:val="002E25D3"/>
    <w:rsid w:val="00303E1A"/>
    <w:rsid w:val="003C0AEB"/>
    <w:rsid w:val="003C1F30"/>
    <w:rsid w:val="003E2002"/>
    <w:rsid w:val="0040722F"/>
    <w:rsid w:val="00447D67"/>
    <w:rsid w:val="00464E49"/>
    <w:rsid w:val="00494D7A"/>
    <w:rsid w:val="004B3681"/>
    <w:rsid w:val="004D06A2"/>
    <w:rsid w:val="004D4318"/>
    <w:rsid w:val="004F624E"/>
    <w:rsid w:val="004F7688"/>
    <w:rsid w:val="00545339"/>
    <w:rsid w:val="00571E15"/>
    <w:rsid w:val="00593B6D"/>
    <w:rsid w:val="005941F9"/>
    <w:rsid w:val="005A0167"/>
    <w:rsid w:val="005D6398"/>
    <w:rsid w:val="00615B85"/>
    <w:rsid w:val="00617A91"/>
    <w:rsid w:val="00625B97"/>
    <w:rsid w:val="006467D8"/>
    <w:rsid w:val="00656713"/>
    <w:rsid w:val="006A531B"/>
    <w:rsid w:val="006B2FB8"/>
    <w:rsid w:val="006C3D8C"/>
    <w:rsid w:val="006F211F"/>
    <w:rsid w:val="006F7693"/>
    <w:rsid w:val="00710140"/>
    <w:rsid w:val="00780F40"/>
    <w:rsid w:val="00794B50"/>
    <w:rsid w:val="007D4D12"/>
    <w:rsid w:val="007F2275"/>
    <w:rsid w:val="00851859"/>
    <w:rsid w:val="008838E0"/>
    <w:rsid w:val="008B049E"/>
    <w:rsid w:val="008B05D6"/>
    <w:rsid w:val="008C1168"/>
    <w:rsid w:val="008C2E17"/>
    <w:rsid w:val="008C39A4"/>
    <w:rsid w:val="008D6F35"/>
    <w:rsid w:val="008F1E60"/>
    <w:rsid w:val="00915F0F"/>
    <w:rsid w:val="009532DF"/>
    <w:rsid w:val="00997019"/>
    <w:rsid w:val="009A3F2C"/>
    <w:rsid w:val="009A5029"/>
    <w:rsid w:val="009B1AF3"/>
    <w:rsid w:val="009D38D5"/>
    <w:rsid w:val="009E3C84"/>
    <w:rsid w:val="00A53F26"/>
    <w:rsid w:val="00AA0CC5"/>
    <w:rsid w:val="00AF0782"/>
    <w:rsid w:val="00B15BDA"/>
    <w:rsid w:val="00B16AFE"/>
    <w:rsid w:val="00B65DD5"/>
    <w:rsid w:val="00BD10B6"/>
    <w:rsid w:val="00C07076"/>
    <w:rsid w:val="00C254AD"/>
    <w:rsid w:val="00C32E1F"/>
    <w:rsid w:val="00C664AF"/>
    <w:rsid w:val="00C7554D"/>
    <w:rsid w:val="00CA45B9"/>
    <w:rsid w:val="00CB00DF"/>
    <w:rsid w:val="00CD1CA8"/>
    <w:rsid w:val="00D3521B"/>
    <w:rsid w:val="00D73C72"/>
    <w:rsid w:val="00D85E10"/>
    <w:rsid w:val="00D96C07"/>
    <w:rsid w:val="00DB5E4E"/>
    <w:rsid w:val="00DF7F7A"/>
    <w:rsid w:val="00E0592B"/>
    <w:rsid w:val="00E10B16"/>
    <w:rsid w:val="00E147DB"/>
    <w:rsid w:val="00E20487"/>
    <w:rsid w:val="00E31738"/>
    <w:rsid w:val="00E56D4C"/>
    <w:rsid w:val="00E66883"/>
    <w:rsid w:val="00E72D65"/>
    <w:rsid w:val="00E86786"/>
    <w:rsid w:val="00EC0A23"/>
    <w:rsid w:val="00EC0C7D"/>
    <w:rsid w:val="00EC20C6"/>
    <w:rsid w:val="00ED2F80"/>
    <w:rsid w:val="00EF0396"/>
    <w:rsid w:val="00F107B2"/>
    <w:rsid w:val="00F1624E"/>
    <w:rsid w:val="00F25A95"/>
    <w:rsid w:val="00F32F8A"/>
    <w:rsid w:val="00F33064"/>
    <w:rsid w:val="00F810AA"/>
    <w:rsid w:val="00F96670"/>
    <w:rsid w:val="00FB43EC"/>
    <w:rsid w:val="00FB6B40"/>
    <w:rsid w:val="00FC2E0D"/>
    <w:rsid w:val="59F82E8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99"/>
    <w:rPr>
      <w:rFonts w:ascii="Calibri" w:hAnsi="Calibri" w:eastAsia="宋体" w:cs="Times New Roman"/>
      <w:sz w:val="18"/>
      <w:szCs w:val="18"/>
    </w:rPr>
  </w:style>
  <w:style w:type="character" w:customStyle="1" w:styleId="8">
    <w:name w:val="页脚 字符"/>
    <w:basedOn w:val="6"/>
    <w:link w:val="2"/>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178</Words>
  <Characters>1018</Characters>
  <Lines>8</Lines>
  <Paragraphs>2</Paragraphs>
  <TotalTime>37</TotalTime>
  <ScaleCrop>false</ScaleCrop>
  <LinksUpToDate>false</LinksUpToDate>
  <CharactersWithSpaces>1194</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张洪磊</cp:lastModifiedBy>
  <dcterms:modified xsi:type="dcterms:W3CDTF">2021-11-12T01:36:57Z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