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440" w:lineRule="exact"/>
        <w:jc w:val="center"/>
        <w:rPr>
          <w:rFonts w:ascii="黑体" w:hAnsi="Times New Roman" w:eastAsia="黑体"/>
          <w:sz w:val="30"/>
          <w:szCs w:val="30"/>
        </w:rPr>
      </w:pPr>
      <w:r>
        <w:rPr>
          <w:rFonts w:hint="eastAsia" w:ascii="黑体" w:hAnsi="Times New Roman" w:eastAsia="黑体"/>
          <w:sz w:val="30"/>
          <w:szCs w:val="30"/>
        </w:rPr>
        <w:t>经营者集中简易案件公示表</w:t>
      </w:r>
    </w:p>
    <w:p>
      <w:pPr>
        <w:spacing w:line="440" w:lineRule="exact"/>
        <w:jc w:val="center"/>
        <w:rPr>
          <w:rFonts w:ascii="黑体" w:hAnsi="Times New Roman" w:eastAsia="黑体"/>
          <w:sz w:val="30"/>
          <w:szCs w:val="30"/>
        </w:rPr>
      </w:pPr>
    </w:p>
    <w:tbl>
      <w:tblPr>
        <w:tblStyle w:val="5"/>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9"/>
        <w:gridCol w:w="2039"/>
        <w:gridCol w:w="52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案件名称</w:t>
            </w: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四川省港航投资集团有限责任公司收购上海雅仕投资发展股份有限公司股权案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46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交易概况</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（限200字内）</w:t>
            </w: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四川省港航投资集团有限责任公司（“四川港投”）拟收购江苏雅仕公司持有的上海雅仕投资发展股份有限公司（“上海雅仕”）2</w:t>
            </w:r>
            <w:r>
              <w:rPr>
                <w:rFonts w:ascii="仿宋" w:hAnsi="仿宋" w:eastAsia="仿宋" w:cs="宋体"/>
                <w:color w:val="333333"/>
                <w:kern w:val="0"/>
                <w:sz w:val="24"/>
                <w:szCs w:val="24"/>
              </w:rPr>
              <w:t>5.01%</w:t>
            </w:r>
            <w:r>
              <w:rPr>
                <w:rFonts w:hint="eastAsia" w:ascii="仿宋" w:hAnsi="仿宋" w:eastAsia="仿宋" w:cs="宋体"/>
                <w:color w:val="333333"/>
                <w:kern w:val="0"/>
                <w:sz w:val="24"/>
                <w:szCs w:val="24"/>
              </w:rPr>
              <w:t>股份，</w:t>
            </w:r>
            <w:r>
              <w:rPr>
                <w:rFonts w:ascii="仿宋" w:hAnsi="仿宋" w:eastAsia="仿宋" w:cs="宋体"/>
                <w:color w:val="333333"/>
                <w:kern w:val="0"/>
                <w:sz w:val="24"/>
                <w:szCs w:val="24"/>
              </w:rPr>
              <w:t>江苏雅仕公司不可撤销地放弃所持上海雅仕2%股份对应的表决权</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交易完成后</w:t>
            </w:r>
            <w:r>
              <w:rPr>
                <w:rFonts w:hint="eastAsia" w:ascii="仿宋" w:hAnsi="仿宋" w:eastAsia="仿宋" w:cs="宋体"/>
                <w:color w:val="333333"/>
                <w:kern w:val="0"/>
                <w:sz w:val="24"/>
                <w:szCs w:val="24"/>
              </w:rPr>
              <w:t>，</w:t>
            </w:r>
            <w:r>
              <w:rPr>
                <w:rFonts w:ascii="仿宋" w:hAnsi="仿宋" w:eastAsia="仿宋" w:cs="宋体"/>
                <w:color w:val="333333"/>
                <w:kern w:val="0"/>
                <w:sz w:val="24"/>
                <w:szCs w:val="24"/>
              </w:rPr>
              <w:t>四川港投成为上海雅仕控股股东</w:t>
            </w:r>
            <w:r>
              <w:rPr>
                <w:rFonts w:hint="eastAsia" w:ascii="仿宋" w:hAnsi="仿宋" w:eastAsia="仿宋"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46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参与集中的</w:t>
            </w:r>
          </w:p>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经营者简介</w:t>
            </w:r>
          </w:p>
        </w:tc>
        <w:tc>
          <w:tcPr>
            <w:tcW w:w="2039"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1、四川港投</w:t>
            </w:r>
          </w:p>
        </w:tc>
        <w:tc>
          <w:tcPr>
            <w:tcW w:w="5250"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成立于</w:t>
            </w:r>
            <w:r>
              <w:rPr>
                <w:rFonts w:ascii="仿宋" w:hAnsi="仿宋" w:eastAsia="仿宋" w:cs="宋体"/>
                <w:color w:val="333333"/>
                <w:kern w:val="0"/>
                <w:sz w:val="24"/>
                <w:szCs w:val="24"/>
              </w:rPr>
              <w:t>2019</w:t>
            </w:r>
            <w:r>
              <w:rPr>
                <w:rFonts w:hint="eastAsia" w:ascii="仿宋" w:hAnsi="仿宋" w:eastAsia="仿宋" w:cs="宋体"/>
                <w:color w:val="333333"/>
                <w:kern w:val="0"/>
                <w:sz w:val="24"/>
                <w:szCs w:val="24"/>
              </w:rPr>
              <w:t>年</w:t>
            </w:r>
            <w:r>
              <w:rPr>
                <w:rFonts w:ascii="仿宋" w:hAnsi="仿宋" w:eastAsia="仿宋" w:cs="宋体"/>
                <w:color w:val="333333"/>
                <w:kern w:val="0"/>
                <w:sz w:val="24"/>
                <w:szCs w:val="24"/>
              </w:rPr>
              <w:t>9</w:t>
            </w:r>
            <w:r>
              <w:rPr>
                <w:rFonts w:hint="eastAsia" w:ascii="仿宋" w:hAnsi="仿宋" w:eastAsia="仿宋" w:cs="宋体"/>
                <w:color w:val="333333"/>
                <w:kern w:val="0"/>
                <w:sz w:val="24"/>
                <w:szCs w:val="24"/>
              </w:rPr>
              <w:t>月</w:t>
            </w:r>
            <w:r>
              <w:rPr>
                <w:rFonts w:ascii="仿宋" w:hAnsi="仿宋" w:eastAsia="仿宋" w:cs="宋体"/>
                <w:color w:val="333333"/>
                <w:kern w:val="0"/>
                <w:sz w:val="24"/>
                <w:szCs w:val="24"/>
              </w:rPr>
              <w:t>25</w:t>
            </w:r>
            <w:r>
              <w:rPr>
                <w:rFonts w:hint="eastAsia" w:ascii="仿宋" w:hAnsi="仿宋" w:eastAsia="仿宋" w:cs="宋体"/>
                <w:color w:val="333333"/>
                <w:kern w:val="0"/>
                <w:sz w:val="24"/>
                <w:szCs w:val="24"/>
              </w:rPr>
              <w:t>日，四川港投及其关联企业从事与本次集中相关的主要业务为第三方物流服务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2039"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2、上海雅仕</w:t>
            </w:r>
          </w:p>
        </w:tc>
        <w:tc>
          <w:tcPr>
            <w:tcW w:w="5250" w:type="dxa"/>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成立于2003年5月22日,上海雅仕及其关联企业从事与本次集中相关的主要业务为第三方物流服务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469" w:type="dxa"/>
            <w:vMerge w:val="restart"/>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简易案件理由（可以单选，也可以多选）</w:t>
            </w: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89" w:type="dxa"/>
            <w:gridSpan w:val="2"/>
          </w:tcPr>
          <w:p>
            <w:pPr>
              <w:spacing w:line="500" w:lineRule="exact"/>
              <w:rPr>
                <w:rFonts w:ascii="仿宋_GB2312" w:hAnsi="Times New Roman" w:eastAsia="仿宋_GB2312"/>
                <w:sz w:val="28"/>
                <w:szCs w:val="28"/>
              </w:rPr>
            </w:pPr>
            <w:r>
              <w:rPr>
                <w:rFonts w:hint="eastAsia" w:ascii="仿宋" w:hAnsi="仿宋" w:eastAsia="仿宋" w:cs="宋体"/>
                <w:color w:val="333333"/>
                <w:kern w:val="0"/>
                <w:sz w:val="24"/>
                <w:szCs w:val="24"/>
                <w:lang w:eastAsia="zh-CN"/>
              </w:rPr>
              <w:t>□</w:t>
            </w:r>
            <w:r>
              <w:rPr>
                <w:rFonts w:hint="eastAsia" w:ascii="仿宋" w:hAnsi="仿宋" w:eastAsia="仿宋" w:cs="宋体"/>
                <w:color w:val="333333"/>
                <w:kern w:val="0"/>
                <w:sz w:val="24"/>
                <w:szCs w:val="24"/>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469" w:type="dxa"/>
            <w:vMerge w:val="continue"/>
            <w:shd w:val="clear" w:color="auto" w:fill="D9D9D9"/>
            <w:vAlign w:val="center"/>
          </w:tcPr>
          <w:p>
            <w:pPr>
              <w:spacing w:line="500" w:lineRule="exact"/>
              <w:jc w:val="center"/>
              <w:rPr>
                <w:rFonts w:ascii="仿宋" w:hAnsi="仿宋" w:eastAsia="仿宋" w:cs="宋体"/>
                <w:color w:val="333333"/>
                <w:kern w:val="0"/>
                <w:sz w:val="24"/>
                <w:szCs w:val="24"/>
              </w:rPr>
            </w:pPr>
          </w:p>
        </w:tc>
        <w:tc>
          <w:tcPr>
            <w:tcW w:w="7289" w:type="dxa"/>
            <w:gridSpan w:val="2"/>
          </w:tcPr>
          <w:p>
            <w:pPr>
              <w:spacing w:line="500" w:lineRule="exact"/>
              <w:rPr>
                <w:rFonts w:ascii="仿宋" w:hAnsi="仿宋" w:eastAsia="仿宋" w:cs="宋体"/>
                <w:color w:val="333333"/>
                <w:kern w:val="0"/>
                <w:sz w:val="24"/>
                <w:szCs w:val="24"/>
              </w:rPr>
            </w:pPr>
            <w:r>
              <w:rPr>
                <w:rFonts w:hint="eastAsia" w:ascii="仿宋" w:hAnsi="仿宋" w:eastAsia="仿宋" w:cs="宋体"/>
                <w:color w:val="333333"/>
                <w:kern w:val="0"/>
                <w:sz w:val="24"/>
                <w:szCs w:val="24"/>
              </w:rPr>
              <w:t>相关市场界定以及市场份额如下：</w:t>
            </w:r>
          </w:p>
          <w:tbl>
            <w:tblPr>
              <w:tblStyle w:val="6"/>
              <w:tblW w:w="70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02"/>
              <w:gridCol w:w="1559"/>
              <w:gridCol w:w="1334"/>
              <w:gridCol w:w="1334"/>
              <w:gridCol w:w="13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2" w:type="dxa"/>
                </w:tcPr>
                <w:p>
                  <w:pPr>
                    <w:spacing w:line="300" w:lineRule="auto"/>
                    <w:jc w:val="left"/>
                    <w:rPr>
                      <w:rFonts w:ascii="Times New Roman" w:hAnsi="Times New Roman" w:eastAsia="仿宋_GB2312"/>
                      <w:kern w:val="0"/>
                      <w:sz w:val="21"/>
                      <w:szCs w:val="21"/>
                      <w:lang w:bidi="he-IL"/>
                    </w:rPr>
                  </w:pPr>
                  <w:r>
                    <w:rPr>
                      <w:rFonts w:hint="eastAsia" w:ascii="Times New Roman" w:hAnsi="Times New Roman" w:eastAsia="仿宋_GB2312"/>
                      <w:kern w:val="0"/>
                      <w:sz w:val="21"/>
                      <w:szCs w:val="21"/>
                      <w:lang w:bidi="he-IL"/>
                    </w:rPr>
                    <w:t>相关商品市场</w:t>
                  </w:r>
                </w:p>
              </w:tc>
              <w:tc>
                <w:tcPr>
                  <w:tcW w:w="1559" w:type="dxa"/>
                </w:tcPr>
                <w:p>
                  <w:pPr>
                    <w:spacing w:line="300" w:lineRule="auto"/>
                    <w:jc w:val="left"/>
                    <w:rPr>
                      <w:rFonts w:ascii="Times New Roman" w:hAnsi="Times New Roman" w:eastAsia="仿宋_GB2312"/>
                      <w:kern w:val="0"/>
                      <w:sz w:val="21"/>
                      <w:szCs w:val="21"/>
                      <w:lang w:bidi="he-IL"/>
                    </w:rPr>
                  </w:pPr>
                  <w:r>
                    <w:rPr>
                      <w:rFonts w:hint="eastAsia" w:ascii="Times New Roman" w:hAnsi="Times New Roman" w:eastAsia="仿宋_GB2312"/>
                      <w:kern w:val="0"/>
                      <w:sz w:val="21"/>
                      <w:szCs w:val="21"/>
                      <w:lang w:bidi="he-IL"/>
                    </w:rPr>
                    <w:t>相关地域市场</w:t>
                  </w:r>
                </w:p>
              </w:tc>
              <w:tc>
                <w:tcPr>
                  <w:tcW w:w="1334" w:type="dxa"/>
                </w:tcPr>
                <w:p>
                  <w:pPr>
                    <w:spacing w:line="300" w:lineRule="auto"/>
                    <w:jc w:val="left"/>
                    <w:rPr>
                      <w:rFonts w:ascii="Times New Roman" w:hAnsi="Times New Roman" w:eastAsia="仿宋_GB2312"/>
                      <w:kern w:val="0"/>
                      <w:sz w:val="21"/>
                      <w:szCs w:val="21"/>
                      <w:lang w:bidi="he-IL"/>
                    </w:rPr>
                  </w:pPr>
                  <w:r>
                    <w:rPr>
                      <w:rFonts w:hint="eastAsia" w:ascii="Times New Roman" w:hAnsi="Times New Roman" w:eastAsia="仿宋_GB2312"/>
                      <w:kern w:val="0"/>
                      <w:sz w:val="21"/>
                      <w:szCs w:val="21"/>
                      <w:lang w:bidi="he-IL"/>
                    </w:rPr>
                    <w:t>四川港投</w:t>
                  </w:r>
                </w:p>
              </w:tc>
              <w:tc>
                <w:tcPr>
                  <w:tcW w:w="1334" w:type="dxa"/>
                </w:tcPr>
                <w:p>
                  <w:pPr>
                    <w:spacing w:line="300" w:lineRule="auto"/>
                    <w:jc w:val="left"/>
                    <w:rPr>
                      <w:rFonts w:ascii="Times New Roman" w:hAnsi="Times New Roman" w:eastAsia="仿宋_GB2312"/>
                      <w:kern w:val="0"/>
                      <w:sz w:val="21"/>
                      <w:szCs w:val="21"/>
                      <w:lang w:bidi="he-IL"/>
                    </w:rPr>
                  </w:pPr>
                  <w:r>
                    <w:rPr>
                      <w:rFonts w:hint="eastAsia" w:ascii="Times New Roman" w:hAnsi="Times New Roman" w:eastAsia="仿宋_GB2312"/>
                      <w:kern w:val="0"/>
                      <w:sz w:val="21"/>
                      <w:szCs w:val="21"/>
                      <w:lang w:bidi="he-IL"/>
                    </w:rPr>
                    <w:t>上海雅仕</w:t>
                  </w:r>
                </w:p>
              </w:tc>
              <w:tc>
                <w:tcPr>
                  <w:tcW w:w="1334" w:type="dxa"/>
                </w:tcPr>
                <w:p>
                  <w:pPr>
                    <w:spacing w:line="300" w:lineRule="auto"/>
                    <w:jc w:val="left"/>
                    <w:rPr>
                      <w:rFonts w:hint="eastAsia" w:ascii="Times New Roman" w:hAnsi="Times New Roman" w:eastAsia="仿宋_GB2312"/>
                      <w:kern w:val="0"/>
                      <w:sz w:val="21"/>
                      <w:szCs w:val="21"/>
                      <w:lang w:eastAsia="zh-CN" w:bidi="he-IL"/>
                    </w:rPr>
                  </w:pPr>
                  <w:r>
                    <w:rPr>
                      <w:rFonts w:hint="eastAsia" w:ascii="Times New Roman" w:hAnsi="Times New Roman" w:eastAsia="仿宋_GB2312"/>
                      <w:kern w:val="0"/>
                      <w:sz w:val="21"/>
                      <w:szCs w:val="21"/>
                      <w:lang w:eastAsia="zh-CN" w:bidi="he-IL"/>
                    </w:rPr>
                    <w:t>合计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02" w:type="dxa"/>
                  <w:vAlign w:val="center"/>
                </w:tcPr>
                <w:p>
                  <w:pPr>
                    <w:spacing w:line="300" w:lineRule="auto"/>
                    <w:jc w:val="left"/>
                    <w:rPr>
                      <w:rFonts w:ascii="仿宋" w:hAnsi="仿宋" w:eastAsia="仿宋" w:cs="宋体"/>
                      <w:color w:val="333333"/>
                      <w:kern w:val="0"/>
                      <w:sz w:val="21"/>
                      <w:szCs w:val="21"/>
                      <w:lang w:bidi="he-IL"/>
                    </w:rPr>
                  </w:pPr>
                  <w:r>
                    <w:rPr>
                      <w:rFonts w:hint="eastAsia" w:ascii="仿宋" w:hAnsi="仿宋" w:eastAsia="仿宋" w:cs="宋体"/>
                      <w:color w:val="333333"/>
                      <w:kern w:val="0"/>
                      <w:sz w:val="21"/>
                      <w:szCs w:val="21"/>
                      <w:lang w:bidi="he-IL"/>
                    </w:rPr>
                    <w:t>第三方物流市场</w:t>
                  </w:r>
                </w:p>
              </w:tc>
              <w:tc>
                <w:tcPr>
                  <w:tcW w:w="1559" w:type="dxa"/>
                  <w:vAlign w:val="center"/>
                </w:tcPr>
                <w:p>
                  <w:pPr>
                    <w:spacing w:line="300" w:lineRule="auto"/>
                    <w:jc w:val="center"/>
                    <w:rPr>
                      <w:rFonts w:hint="eastAsia" w:ascii="仿宋" w:hAnsi="仿宋" w:eastAsia="仿宋" w:cs="宋体"/>
                      <w:color w:val="333333"/>
                      <w:kern w:val="0"/>
                      <w:sz w:val="21"/>
                      <w:szCs w:val="21"/>
                      <w:lang w:eastAsia="zh-CN" w:bidi="he-IL"/>
                    </w:rPr>
                  </w:pPr>
                  <w:r>
                    <w:rPr>
                      <w:rFonts w:hint="eastAsia" w:ascii="仿宋" w:hAnsi="仿宋" w:eastAsia="仿宋" w:cs="宋体"/>
                      <w:color w:val="333333"/>
                      <w:kern w:val="0"/>
                      <w:sz w:val="21"/>
                      <w:szCs w:val="21"/>
                      <w:lang w:bidi="he-IL"/>
                    </w:rPr>
                    <w:t>中国</w:t>
                  </w:r>
                  <w:r>
                    <w:rPr>
                      <w:rFonts w:hint="eastAsia" w:ascii="仿宋" w:hAnsi="仿宋" w:eastAsia="仿宋" w:cs="宋体"/>
                      <w:color w:val="333333"/>
                      <w:kern w:val="0"/>
                      <w:sz w:val="21"/>
                      <w:szCs w:val="21"/>
                      <w:lang w:eastAsia="zh-CN" w:bidi="he-IL"/>
                    </w:rPr>
                    <w:t>境内</w:t>
                  </w:r>
                </w:p>
              </w:tc>
              <w:tc>
                <w:tcPr>
                  <w:tcW w:w="1334" w:type="dxa"/>
                  <w:vAlign w:val="center"/>
                </w:tcPr>
                <w:p>
                  <w:pPr>
                    <w:spacing w:line="300" w:lineRule="auto"/>
                    <w:jc w:val="center"/>
                    <w:rPr>
                      <w:rFonts w:ascii="仿宋" w:hAnsi="仿宋" w:eastAsia="仿宋" w:cs="宋体"/>
                      <w:color w:val="333333"/>
                      <w:kern w:val="0"/>
                      <w:sz w:val="21"/>
                      <w:szCs w:val="21"/>
                      <w:lang w:bidi="he-IL"/>
                    </w:rPr>
                  </w:pPr>
                  <w:r>
                    <w:rPr>
                      <w:rFonts w:ascii="仿宋" w:hAnsi="仿宋" w:eastAsia="仿宋" w:cs="宋体"/>
                      <w:color w:val="333333"/>
                      <w:kern w:val="0"/>
                      <w:sz w:val="21"/>
                      <w:szCs w:val="21"/>
                      <w:lang w:bidi="he-IL"/>
                    </w:rPr>
                    <w:t>0-5%</w:t>
                  </w:r>
                </w:p>
              </w:tc>
              <w:tc>
                <w:tcPr>
                  <w:tcW w:w="1334" w:type="dxa"/>
                  <w:vAlign w:val="center"/>
                </w:tcPr>
                <w:p>
                  <w:pPr>
                    <w:spacing w:line="300" w:lineRule="auto"/>
                    <w:jc w:val="center"/>
                    <w:rPr>
                      <w:rFonts w:ascii="仿宋" w:hAnsi="仿宋" w:eastAsia="仿宋" w:cs="宋体"/>
                      <w:color w:val="333333"/>
                      <w:kern w:val="0"/>
                      <w:sz w:val="21"/>
                      <w:szCs w:val="21"/>
                      <w:lang w:bidi="he-IL"/>
                    </w:rPr>
                  </w:pPr>
                  <w:r>
                    <w:rPr>
                      <w:rFonts w:ascii="仿宋" w:hAnsi="仿宋" w:eastAsia="仿宋" w:cs="宋体"/>
                      <w:color w:val="333333"/>
                      <w:kern w:val="0"/>
                      <w:sz w:val="21"/>
                      <w:szCs w:val="21"/>
                      <w:lang w:bidi="he-IL"/>
                    </w:rPr>
                    <w:t>0-5%</w:t>
                  </w:r>
                </w:p>
              </w:tc>
              <w:tc>
                <w:tcPr>
                  <w:tcW w:w="1334" w:type="dxa"/>
                  <w:vAlign w:val="center"/>
                </w:tcPr>
                <w:p>
                  <w:pPr>
                    <w:spacing w:line="300" w:lineRule="auto"/>
                    <w:jc w:val="center"/>
                    <w:rPr>
                      <w:rFonts w:ascii="仿宋" w:hAnsi="仿宋" w:eastAsia="仿宋" w:cs="宋体"/>
                      <w:color w:val="333333"/>
                      <w:kern w:val="0"/>
                      <w:sz w:val="21"/>
                      <w:szCs w:val="21"/>
                      <w:lang w:bidi="he-IL"/>
                    </w:rPr>
                  </w:pPr>
                  <w:r>
                    <w:rPr>
                      <w:rFonts w:ascii="仿宋" w:hAnsi="仿宋" w:eastAsia="仿宋" w:cs="宋体"/>
                      <w:color w:val="333333"/>
                      <w:kern w:val="0"/>
                      <w:sz w:val="21"/>
                      <w:szCs w:val="21"/>
                      <w:lang w:bidi="he-IL"/>
                    </w:rPr>
                    <w:t>0-5%</w:t>
                  </w:r>
                </w:p>
              </w:tc>
            </w:tr>
          </w:tbl>
          <w:p>
            <w:pPr>
              <w:spacing w:line="500" w:lineRule="exact"/>
              <w:rPr>
                <w:rFonts w:ascii="仿宋" w:hAnsi="仿宋" w:eastAsia="仿宋" w:cs="宋体"/>
                <w:color w:val="333333"/>
                <w:kern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69" w:type="dxa"/>
            <w:shd w:val="clear" w:color="auto" w:fill="D9D9D9"/>
            <w:vAlign w:val="center"/>
          </w:tcPr>
          <w:p>
            <w:pPr>
              <w:spacing w:line="500" w:lineRule="exact"/>
              <w:jc w:val="center"/>
              <w:rPr>
                <w:rFonts w:ascii="仿宋" w:hAnsi="仿宋" w:eastAsia="仿宋" w:cs="宋体"/>
                <w:color w:val="333333"/>
                <w:kern w:val="0"/>
                <w:sz w:val="24"/>
                <w:szCs w:val="24"/>
              </w:rPr>
            </w:pPr>
            <w:r>
              <w:rPr>
                <w:rFonts w:hint="eastAsia" w:ascii="仿宋" w:hAnsi="仿宋" w:eastAsia="仿宋" w:cs="宋体"/>
                <w:color w:val="333333"/>
                <w:kern w:val="0"/>
                <w:sz w:val="24"/>
                <w:szCs w:val="24"/>
              </w:rPr>
              <w:t>备注</w:t>
            </w:r>
          </w:p>
        </w:tc>
        <w:tc>
          <w:tcPr>
            <w:tcW w:w="7289" w:type="dxa"/>
            <w:gridSpan w:val="2"/>
          </w:tcPr>
          <w:p>
            <w:pPr>
              <w:spacing w:line="500" w:lineRule="exact"/>
              <w:rPr>
                <w:rFonts w:ascii="仿宋" w:hAnsi="仿宋" w:eastAsia="仿宋" w:cs="宋体"/>
                <w:color w:val="333333"/>
                <w:kern w:val="0"/>
                <w:sz w:val="24"/>
                <w:szCs w:val="24"/>
              </w:rPr>
            </w:pPr>
          </w:p>
        </w:tc>
      </w:tr>
    </w:tbl>
    <w:p>
      <w:pPr>
        <w:snapToGrid w:val="0"/>
        <w:spacing w:line="240" w:lineRule="exact"/>
        <w:jc w:val="left"/>
        <w:rPr>
          <w:rFonts w:ascii="楷体_GB2312" w:hAnsi="宋体" w:eastAsia="楷体_GB2312"/>
          <w:sz w:val="24"/>
          <w:szCs w:val="24"/>
        </w:rPr>
      </w:pPr>
    </w:p>
    <w:p>
      <w:pPr>
        <w:snapToGrid w:val="0"/>
        <w:spacing w:line="240" w:lineRule="exact"/>
        <w:jc w:val="left"/>
        <w:rPr>
          <w:rFonts w:ascii="方正仿宋_GBK" w:hAnsi="宋体" w:eastAsia="方正仿宋_GBK"/>
          <w:sz w:val="24"/>
          <w:szCs w:val="24"/>
        </w:rPr>
      </w:pPr>
      <w:r>
        <w:rPr>
          <w:rFonts w:hint="eastAsia" w:ascii="方正仿宋_GBK" w:hAnsi="宋体" w:eastAsia="方正仿宋_GBK"/>
          <w:sz w:val="24"/>
          <w:szCs w:val="24"/>
        </w:rPr>
        <w:t>注解：</w:t>
      </w:r>
    </w:p>
    <w:p>
      <w:pPr>
        <w:snapToGrid w:val="0"/>
        <w:spacing w:line="360" w:lineRule="auto"/>
        <w:ind w:firstLine="480" w:firstLineChars="200"/>
        <w:jc w:val="left"/>
        <w:rPr>
          <w:rFonts w:ascii="方正仿宋_GBK" w:hAnsi="宋体" w:eastAsia="方正仿宋_GBK"/>
          <w:sz w:val="24"/>
          <w:szCs w:val="24"/>
        </w:rPr>
      </w:pPr>
      <w:r>
        <w:rPr>
          <w:rFonts w:hint="eastAsia" w:ascii="方正仿宋_GBK" w:hAnsi="宋体" w:eastAsia="方正仿宋_GBK"/>
          <w:sz w:val="24"/>
          <w:szCs w:val="24"/>
        </w:rPr>
        <w:t>1.申报方申请简易案件的理由是基于1-3项时，须在备注中说明界定的相关商品市场和相关地域市场（无须阐述界定理由），以及相关市场</w:t>
      </w:r>
      <w:bookmarkStart w:id="0" w:name="_GoBack"/>
      <w:bookmarkEnd w:id="0"/>
      <w:r>
        <w:rPr>
          <w:rFonts w:hint="eastAsia" w:ascii="方正仿宋_GBK" w:hAnsi="宋体" w:eastAsia="方正仿宋_GBK"/>
          <w:sz w:val="24"/>
          <w:szCs w:val="24"/>
        </w:rPr>
        <w:t>份额；市场份额可以区间形式提供，区间幅度不应超过5%。1-3项可以多选，也可单选；没有勾选的，视为本集中不涉及该类型交易。</w:t>
      </w:r>
    </w:p>
    <w:p>
      <w:pPr>
        <w:spacing w:line="360" w:lineRule="auto"/>
        <w:ind w:firstLine="480" w:firstLineChars="200"/>
        <w:rPr>
          <w:rFonts w:ascii="方正仿宋_GBK" w:hAnsi="Times New Roman" w:eastAsia="方正仿宋_GBK"/>
          <w:sz w:val="28"/>
          <w:szCs w:val="28"/>
        </w:rPr>
      </w:pPr>
      <w:r>
        <w:rPr>
          <w:rFonts w:hint="eastAsia" w:ascii="方正仿宋_GBK" w:hAnsi="宋体" w:eastAsia="方正仿宋_GBK"/>
          <w:sz w:val="24"/>
          <w:szCs w:val="24"/>
        </w:rPr>
        <w:t>2.申报方申请简易案件的理由是基于第4项、第5项时，无须在备注中说明相关市场和市场份额。</w:t>
      </w:r>
      <w:r>
        <w:rPr>
          <w:rFonts w:hint="eastAsia" w:ascii="方正仿宋_GBK" w:hAnsi="宋体" w:eastAsia="方正仿宋_GBK"/>
          <w:sz w:val="24"/>
          <w:szCs w:val="24"/>
        </w:rPr>
        <w:br w:type="textWrapping"/>
      </w:r>
      <w:r>
        <w:rPr>
          <w:rFonts w:hint="eastAsia" w:ascii="方正仿宋_GBK" w:hAnsi="宋体" w:eastAsia="方正仿宋_GBK"/>
          <w:sz w:val="24"/>
          <w:szCs w:val="24"/>
        </w:rPr>
        <w:t xml:space="preserve">    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微软雅黑"/>
    <w:panose1 w:val="00000000000000000000"/>
    <w:charset w:val="86"/>
    <w:family w:val="auto"/>
    <w:pitch w:val="default"/>
    <w:sig w:usb0="00000000" w:usb1="00000000" w:usb2="00000000" w:usb3="00000000" w:csb0="00000000" w:csb1="00000000"/>
  </w:font>
  <w:font w:name="等线">
    <w:altName w:val="微软雅黑"/>
    <w:panose1 w:val="00000000000000000000"/>
    <w:charset w:val="00"/>
    <w:family w:val="auto"/>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Wingdings 2">
    <w:altName w:val="Wingdings"/>
    <w:panose1 w:val="05020102010507070707"/>
    <w:charset w:val="00"/>
    <w:family w:val="decorative"/>
    <w:pitch w:val="default"/>
    <w:sig w:usb0="00000000" w:usb1="00000000" w:usb2="00000000" w:usb3="00000000" w:csb0="80000001" w:csb1="00000000"/>
  </w:font>
  <w:font w:name="楷体_GB2312">
    <w:panose1 w:val="02010609030101010101"/>
    <w:charset w:val="86"/>
    <w:family w:val="auto"/>
    <w:pitch w:val="default"/>
    <w:sig w:usb0="00000001" w:usb1="080E0000" w:usb2="00000000" w:usb3="00000000" w:csb0="00040000" w:csb1="00000000"/>
  </w:font>
  <w:font w:name="方正仿宋_GBK">
    <w:panose1 w:val="02000000000000000000"/>
    <w:charset w:val="86"/>
    <w:family w:val="script"/>
    <w:pitch w:val="default"/>
    <w:sig w:usb0="A00002BF" w:usb1="38CF7CFA" w:usb2="00082016" w:usb3="00000000" w:csb0="00040001" w:csb1="00000000"/>
  </w:font>
  <w:font w:name="微软雅黑">
    <w:panose1 w:val="020B0503020204020204"/>
    <w:charset w:val="86"/>
    <w:family w:val="auto"/>
    <w:pitch w:val="default"/>
    <w:sig w:usb0="80000287" w:usb1="280F3C52"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5493B"/>
    <w:rsid w:val="000B3CD5"/>
    <w:rsid w:val="000D7EBA"/>
    <w:rsid w:val="001164CD"/>
    <w:rsid w:val="00131F20"/>
    <w:rsid w:val="00155717"/>
    <w:rsid w:val="001837A3"/>
    <w:rsid w:val="001E30DB"/>
    <w:rsid w:val="00207694"/>
    <w:rsid w:val="00283F70"/>
    <w:rsid w:val="003C0AEB"/>
    <w:rsid w:val="003E4F24"/>
    <w:rsid w:val="00410EF5"/>
    <w:rsid w:val="004F7688"/>
    <w:rsid w:val="00537D22"/>
    <w:rsid w:val="005708FF"/>
    <w:rsid w:val="0059264F"/>
    <w:rsid w:val="006467D8"/>
    <w:rsid w:val="00653CC9"/>
    <w:rsid w:val="006A531B"/>
    <w:rsid w:val="006D0E25"/>
    <w:rsid w:val="006F7693"/>
    <w:rsid w:val="00710140"/>
    <w:rsid w:val="007A1240"/>
    <w:rsid w:val="007F2275"/>
    <w:rsid w:val="00815DA5"/>
    <w:rsid w:val="00857DF3"/>
    <w:rsid w:val="008B5A93"/>
    <w:rsid w:val="00915F0F"/>
    <w:rsid w:val="009532DF"/>
    <w:rsid w:val="00980C26"/>
    <w:rsid w:val="00997019"/>
    <w:rsid w:val="009A5029"/>
    <w:rsid w:val="009D38D5"/>
    <w:rsid w:val="00A53F26"/>
    <w:rsid w:val="00A56D69"/>
    <w:rsid w:val="00AA0CC5"/>
    <w:rsid w:val="00AE0FBE"/>
    <w:rsid w:val="00B16AFE"/>
    <w:rsid w:val="00B60FDD"/>
    <w:rsid w:val="00B65DD5"/>
    <w:rsid w:val="00BD10B6"/>
    <w:rsid w:val="00C00129"/>
    <w:rsid w:val="00C07076"/>
    <w:rsid w:val="00CB00DF"/>
    <w:rsid w:val="00D73C72"/>
    <w:rsid w:val="00D9232F"/>
    <w:rsid w:val="00D9516D"/>
    <w:rsid w:val="00E0592B"/>
    <w:rsid w:val="00E31738"/>
    <w:rsid w:val="00E86786"/>
    <w:rsid w:val="00ED2F80"/>
    <w:rsid w:val="00F1624E"/>
    <w:rsid w:val="00F239B7"/>
    <w:rsid w:val="00F255FE"/>
    <w:rsid w:val="00F32F8A"/>
    <w:rsid w:val="00F810AA"/>
    <w:rsid w:val="00F954C3"/>
    <w:rsid w:val="00FB43EC"/>
    <w:rsid w:val="00FB6B40"/>
    <w:rsid w:val="00FE0C1C"/>
    <w:rsid w:val="00FF4C63"/>
    <w:rsid w:val="2FDC331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0"/>
    <w:semiHidden/>
    <w:unhideWhenUsed/>
    <w:qFormat/>
    <w:uiPriority w:val="99"/>
    <w:pPr>
      <w:jc w:val="left"/>
    </w:pPr>
  </w:style>
  <w:style w:type="paragraph" w:styleId="3">
    <w:name w:val="Balloon Text"/>
    <w:basedOn w:val="1"/>
    <w:link w:val="12"/>
    <w:semiHidden/>
    <w:unhideWhenUsed/>
    <w:qFormat/>
    <w:uiPriority w:val="99"/>
    <w:rPr>
      <w:sz w:val="18"/>
      <w:szCs w:val="18"/>
    </w:rPr>
  </w:style>
  <w:style w:type="paragraph" w:styleId="4">
    <w:name w:val="annotation subject"/>
    <w:basedOn w:val="2"/>
    <w:next w:val="2"/>
    <w:link w:val="11"/>
    <w:semiHidden/>
    <w:unhideWhenUsed/>
    <w:qFormat/>
    <w:uiPriority w:val="99"/>
    <w:rPr>
      <w:b/>
      <w:bCs/>
    </w:rPr>
  </w:style>
  <w:style w:type="table" w:styleId="6">
    <w:name w:val="Table Grid"/>
    <w:basedOn w:val="5"/>
    <w:qFormat/>
    <w:uiPriority w:val="39"/>
    <w:rPr>
      <w:kern w:val="0"/>
      <w:sz w:val="22"/>
      <w:lang w:bidi="he-I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annotation reference"/>
    <w:basedOn w:val="7"/>
    <w:semiHidden/>
    <w:unhideWhenUsed/>
    <w:qFormat/>
    <w:uiPriority w:val="99"/>
    <w:rPr>
      <w:sz w:val="21"/>
      <w:szCs w:val="21"/>
    </w:rPr>
  </w:style>
  <w:style w:type="paragraph" w:styleId="9">
    <w:name w:val="List Paragraph"/>
    <w:basedOn w:val="1"/>
    <w:qFormat/>
    <w:uiPriority w:val="34"/>
    <w:pPr>
      <w:ind w:firstLine="420" w:firstLineChars="200"/>
    </w:pPr>
  </w:style>
  <w:style w:type="character" w:customStyle="1" w:styleId="10">
    <w:name w:val="批注文字 字符"/>
    <w:basedOn w:val="7"/>
    <w:link w:val="2"/>
    <w:semiHidden/>
    <w:qFormat/>
    <w:uiPriority w:val="99"/>
    <w:rPr>
      <w:rFonts w:ascii="Calibri" w:hAnsi="Calibri" w:eastAsia="宋体" w:cs="Times New Roman"/>
    </w:rPr>
  </w:style>
  <w:style w:type="character" w:customStyle="1" w:styleId="11">
    <w:name w:val="批注主题 字符"/>
    <w:basedOn w:val="10"/>
    <w:link w:val="4"/>
    <w:semiHidden/>
    <w:qFormat/>
    <w:uiPriority w:val="99"/>
    <w:rPr>
      <w:rFonts w:ascii="Calibri" w:hAnsi="Calibri" w:eastAsia="宋体" w:cs="Times New Roman"/>
      <w:b/>
      <w:bCs/>
    </w:rPr>
  </w:style>
  <w:style w:type="character" w:customStyle="1" w:styleId="12">
    <w:name w:val="批注框文本 字符"/>
    <w:basedOn w:val="7"/>
    <w:link w:val="3"/>
    <w:semiHidden/>
    <w:qFormat/>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150</Words>
  <Characters>859</Characters>
  <Lines>7</Lines>
  <Paragraphs>2</Paragraphs>
  <TotalTime>0</TotalTime>
  <ScaleCrop>false</ScaleCrop>
  <LinksUpToDate>false</LinksUpToDate>
  <CharactersWithSpaces>1007</CharactersWithSpaces>
  <Application>WPS Office_11.8.2.10393_F1E327BC-269C-435d-A152-05C5408002CA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2021-11-16T11:42:00Z</dcterms:created>
  <dc:creator>陈媚</dc:creator>
  <cp:lastModifiedBy>万广亮</cp:lastModifiedBy>
  <cp:lastPrinted>2021-12-05T10:10:25Z</cp:lastPrinted>
  <dcterms:modified xsi:type="dcterms:W3CDTF">2021-12-05T10:10:26Z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2052-11.8.2.10393</vt:lpwstr>
  </property>
</Properties>
</file>