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sz w:val="30"/>
          <w:szCs w:val="30"/>
        </w:rPr>
      </w:pPr>
      <w:r>
        <w:rPr>
          <w:rFonts w:ascii="Times New Roman" w:hAnsi="Times New Roman"/>
          <w:sz w:val="30"/>
          <w:szCs w:val="30"/>
        </w:rPr>
        <w:t>经营者集中简易案件公示表</w:t>
      </w:r>
    </w:p>
    <w:p>
      <w:pPr>
        <w:spacing w:line="440" w:lineRule="exact"/>
        <w:rPr>
          <w:rFonts w:ascii="Times New Roman" w:hAnsi="Times New Roman"/>
          <w:sz w:val="28"/>
          <w:szCs w:val="28"/>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招商局港口集团股份有限公司与深圳市腾讯产业创投有限公司新设合营企业案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（限200字内）</w:t>
            </w:r>
          </w:p>
        </w:tc>
        <w:tc>
          <w:tcPr>
            <w:tcW w:w="6949" w:type="dxa"/>
            <w:gridSpan w:val="2"/>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招商局港口集团股份有限公司（“招商港口”）及招商港口的关联方（招商局国际科技有限公司、深圳海星港口发展有限公司）、深圳市腾讯产业创投有限公司（“腾讯产投”）拟共同出资设立一家合营企业。</w:t>
            </w:r>
          </w:p>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本次交易后，招商港口及其关联方合计持股40%，腾讯产投持股4</w:t>
            </w:r>
            <w:r>
              <w:rPr>
                <w:rFonts w:ascii="Times New Roman" w:hAnsi="Times New Roman"/>
                <w:color w:val="333333"/>
                <w:kern w:val="0"/>
                <w:sz w:val="24"/>
                <w:szCs w:val="24"/>
              </w:rPr>
              <w:t>0</w:t>
            </w:r>
            <w:r>
              <w:rPr>
                <w:rFonts w:hint="eastAsia" w:ascii="Times New Roman" w:hAnsi="Times New Roman"/>
                <w:color w:val="333333"/>
                <w:kern w:val="0"/>
                <w:sz w:val="24"/>
                <w:szCs w:val="24"/>
              </w:rPr>
              <w:t>%，合营企业其余20%的股权将由有关员工通过员工持股平台持有。合营企业将由招商港口、腾讯产投共同控制。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1、</w:t>
            </w:r>
            <w:r>
              <w:rPr>
                <w:rFonts w:hint="eastAsia" w:ascii="Times New Roman" w:hAnsi="Times New Roman"/>
                <w:color w:val="333333"/>
                <w:kern w:val="0"/>
                <w:sz w:val="24"/>
                <w:szCs w:val="24"/>
              </w:rPr>
              <w:t>招商港口</w:t>
            </w:r>
          </w:p>
        </w:tc>
        <w:tc>
          <w:tcPr>
            <w:tcW w:w="5153" w:type="dxa"/>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招商港口为招商局集团有限公司（“招商局集团”）港口业务板块管理及资本运营平台，为世界领先的港口开发、投资和营运商。招商港口的主要业务领域包括港口装卸仓储业务、港口配套业务、保税物流业务。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1796" w:type="dxa"/>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2、</w:t>
            </w:r>
            <w:r>
              <w:rPr>
                <w:rFonts w:hint="eastAsia" w:ascii="Times New Roman" w:hAnsi="Times New Roman"/>
                <w:color w:val="333333"/>
                <w:kern w:val="0"/>
                <w:sz w:val="24"/>
                <w:szCs w:val="24"/>
              </w:rPr>
              <w:t>腾讯产投</w:t>
            </w:r>
          </w:p>
        </w:tc>
        <w:tc>
          <w:tcPr>
            <w:tcW w:w="5153" w:type="dxa"/>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腾讯产投为腾讯控股有限公司（“腾讯”）控制的实体。腾讯主要业务包括社交和通信服务、社交网络平台、网络音乐平台、游戏、网络视频服务、互动娱乐直播等。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szCs w:val="21"/>
              </w:rPr>
              <w:sym w:font="Wingdings" w:char="F0FE"/>
            </w: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相关市场：</w:t>
            </w:r>
          </w:p>
          <w:tbl>
            <w:tblPr>
              <w:tblStyle w:val="9"/>
              <w:tblW w:w="6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788"/>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41"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相关商品市场</w:t>
                  </w:r>
                </w:p>
              </w:tc>
              <w:tc>
                <w:tcPr>
                  <w:tcW w:w="1788"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相关地域市场</w:t>
                  </w:r>
                </w:p>
              </w:tc>
              <w:tc>
                <w:tcPr>
                  <w:tcW w:w="2694" w:type="dxa"/>
                  <w:tcBorders>
                    <w:top w:val="single" w:color="auto" w:sz="4" w:space="0"/>
                    <w:left w:val="single" w:color="auto" w:sz="4" w:space="0"/>
                    <w:bottom w:val="single" w:color="auto" w:sz="4" w:space="0"/>
                    <w:right w:val="single" w:color="auto" w:sz="4" w:space="0"/>
                  </w:tcBorders>
                  <w:shd w:val="clear" w:color="auto" w:fill="E7E6E6" w:themeFill="background2"/>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市场份额数据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41"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公有云市场</w:t>
                  </w:r>
                </w:p>
              </w:tc>
              <w:tc>
                <w:tcPr>
                  <w:tcW w:w="1788"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中国境内</w:t>
                  </w:r>
                </w:p>
              </w:tc>
              <w:tc>
                <w:tcPr>
                  <w:tcW w:w="2694"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招商港口：0</w:t>
                  </w:r>
                  <w:r>
                    <w:rPr>
                      <w:rFonts w:ascii="Times New Roman" w:hAnsi="Times New Roman"/>
                      <w:color w:val="333333"/>
                      <w:kern w:val="0"/>
                      <w:sz w:val="24"/>
                      <w:szCs w:val="24"/>
                    </w:rPr>
                    <w:t>%</w:t>
                  </w:r>
                </w:p>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腾讯产投：</w:t>
                  </w:r>
                  <w:r>
                    <w:rPr>
                      <w:rFonts w:ascii="Times New Roman" w:hAnsi="Times New Roman"/>
                      <w:color w:val="333333"/>
                      <w:kern w:val="0"/>
                      <w:sz w:val="24"/>
                      <w:szCs w:val="24"/>
                    </w:rPr>
                    <w:t>[5% - 10%]</w:t>
                  </w:r>
                </w:p>
                <w:p>
                  <w:pPr>
                    <w:spacing w:after="156" w:afterLines="50"/>
                    <w:rPr>
                      <w:rFonts w:ascii="Times New Roman" w:hAnsi="Times New Roman"/>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41"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智慧集卡信息平台服务</w:t>
                  </w:r>
                </w:p>
              </w:tc>
              <w:tc>
                <w:tcPr>
                  <w:tcW w:w="1788"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中国境内</w:t>
                  </w:r>
                </w:p>
              </w:tc>
              <w:tc>
                <w:tcPr>
                  <w:tcW w:w="2694" w:type="dxa"/>
                  <w:tcBorders>
                    <w:top w:val="single" w:color="auto" w:sz="4" w:space="0"/>
                    <w:left w:val="single" w:color="auto" w:sz="4" w:space="0"/>
                    <w:bottom w:val="single" w:color="auto" w:sz="4" w:space="0"/>
                    <w:right w:val="single" w:color="auto" w:sz="4" w:space="0"/>
                  </w:tcBorders>
                  <w:vAlign w:val="top"/>
                </w:tcPr>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招商港</w:t>
                  </w:r>
                  <w:bookmarkStart w:id="0" w:name="_GoBack"/>
                  <w:bookmarkEnd w:id="0"/>
                  <w:r>
                    <w:rPr>
                      <w:rFonts w:hint="eastAsia" w:ascii="Times New Roman" w:hAnsi="Times New Roman"/>
                      <w:color w:val="333333"/>
                      <w:kern w:val="0"/>
                      <w:sz w:val="24"/>
                      <w:szCs w:val="24"/>
                    </w:rPr>
                    <w:t>口：0</w:t>
                  </w:r>
                  <w:r>
                    <w:rPr>
                      <w:rFonts w:ascii="Times New Roman" w:hAnsi="Times New Roman"/>
                      <w:color w:val="333333"/>
                      <w:kern w:val="0"/>
                      <w:sz w:val="24"/>
                      <w:szCs w:val="24"/>
                    </w:rPr>
                    <w:t>%</w:t>
                  </w:r>
                </w:p>
                <w:p>
                  <w:pPr>
                    <w:spacing w:after="156" w:afterLines="50"/>
                    <w:rPr>
                      <w:rFonts w:ascii="Times New Roman" w:hAnsi="Times New Roman"/>
                      <w:color w:val="333333"/>
                      <w:kern w:val="0"/>
                      <w:sz w:val="24"/>
                      <w:szCs w:val="24"/>
                    </w:rPr>
                  </w:pPr>
                  <w:r>
                    <w:rPr>
                      <w:rFonts w:hint="eastAsia" w:ascii="Times New Roman" w:hAnsi="Times New Roman"/>
                      <w:color w:val="333333"/>
                      <w:kern w:val="0"/>
                      <w:sz w:val="24"/>
                      <w:szCs w:val="24"/>
                    </w:rPr>
                    <w:t>腾讯产投：0</w:t>
                  </w:r>
                  <w:r>
                    <w:rPr>
                      <w:rFonts w:ascii="Times New Roman" w:hAnsi="Times New Roman"/>
                      <w:color w:val="333333"/>
                      <w:kern w:val="0"/>
                      <w:sz w:val="24"/>
                      <w:szCs w:val="24"/>
                    </w:rPr>
                    <w:t>%</w:t>
                  </w:r>
                </w:p>
                <w:p>
                  <w:pPr>
                    <w:spacing w:after="156" w:afterLines="50"/>
                    <w:rPr>
                      <w:rFonts w:ascii="Times New Roman" w:hAnsi="Times New Roman"/>
                      <w:color w:val="333333"/>
                      <w:kern w:val="0"/>
                      <w:sz w:val="24"/>
                      <w:szCs w:val="24"/>
                    </w:rPr>
                  </w:pPr>
                </w:p>
              </w:tc>
            </w:tr>
          </w:tbl>
          <w:p>
            <w:pPr>
              <w:pStyle w:val="10"/>
              <w:spacing w:line="500" w:lineRule="exact"/>
              <w:ind w:left="360" w:firstLine="0" w:firstLineChars="0"/>
              <w:rPr>
                <w:rFonts w:ascii="Times New Roman" w:hAnsi="Times New Roman"/>
                <w:color w:val="333333"/>
                <w:kern w:val="0"/>
                <w:sz w:val="24"/>
                <w:szCs w:val="24"/>
              </w:rPr>
            </w:pPr>
          </w:p>
        </w:tc>
      </w:tr>
    </w:tbl>
    <w:p>
      <w:pPr>
        <w:snapToGrid w:val="0"/>
        <w:spacing w:line="240" w:lineRule="exact"/>
        <w:jc w:val="left"/>
        <w:rPr>
          <w:rFonts w:ascii="Times New Roman" w:hAnsi="Times New Roman"/>
          <w:sz w:val="24"/>
          <w:szCs w:val="24"/>
        </w:rPr>
      </w:pPr>
    </w:p>
    <w:p>
      <w:pPr>
        <w:snapToGrid w:val="0"/>
        <w:spacing w:line="240" w:lineRule="exact"/>
        <w:jc w:val="left"/>
        <w:rPr>
          <w:rFonts w:ascii="Times New Roman" w:hAnsi="Times New Roman"/>
          <w:sz w:val="24"/>
          <w:szCs w:val="24"/>
        </w:rPr>
      </w:pPr>
      <w:r>
        <w:rPr>
          <w:rFonts w:ascii="Times New Roman" w:hAnsi="Times New Roman"/>
          <w:sz w:val="24"/>
          <w:szCs w:val="24"/>
        </w:rPr>
        <w:t>注解：</w:t>
      </w:r>
    </w:p>
    <w:p>
      <w:pPr>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Times New Roman" w:hAnsi="Times New Roman"/>
          <w:sz w:val="28"/>
          <w:szCs w:val="28"/>
        </w:rPr>
      </w:pPr>
      <w:r>
        <w:rPr>
          <w:rFonts w:ascii="Times New Roman" w:hAnsi="Times New Roman"/>
          <w:sz w:val="24"/>
          <w:szCs w:val="24"/>
        </w:rPr>
        <w:t>2.申报方申请简易案件的理由是基于第4项、第5项时，无须在备注中说明相关市场和市场份额。</w:t>
      </w:r>
      <w:r>
        <w:rPr>
          <w:rFonts w:ascii="Times New Roman" w:hAnsi="Times New Roman"/>
          <w:sz w:val="24"/>
          <w:szCs w:val="24"/>
        </w:rPr>
        <w:br w:type="textWrapping"/>
      </w:r>
      <w:r>
        <w:rPr>
          <w:rFonts w:ascii="Times New Roman" w:hAnsi="Times New Roman"/>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ascii="Times New Roman" w:hAnsi="Times New Roman"/>
        </w:rPr>
      </w:pPr>
    </w:p>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1MLQ0NjCwMDUwMjVW0lEKTi0uzszPAykwqgUApsR2sCwAAAA="/>
  </w:docVars>
  <w:rsids>
    <w:rsidRoot w:val="00CB00DF"/>
    <w:rsid w:val="00037065"/>
    <w:rsid w:val="000D751C"/>
    <w:rsid w:val="000D7EBA"/>
    <w:rsid w:val="001164CD"/>
    <w:rsid w:val="00155717"/>
    <w:rsid w:val="001837A3"/>
    <w:rsid w:val="00191595"/>
    <w:rsid w:val="002D2D2B"/>
    <w:rsid w:val="00367E88"/>
    <w:rsid w:val="003B2899"/>
    <w:rsid w:val="003C0AEB"/>
    <w:rsid w:val="003D4494"/>
    <w:rsid w:val="003D603A"/>
    <w:rsid w:val="004F7688"/>
    <w:rsid w:val="00506BB6"/>
    <w:rsid w:val="00534FB9"/>
    <w:rsid w:val="005A2C6C"/>
    <w:rsid w:val="006467D8"/>
    <w:rsid w:val="0069295E"/>
    <w:rsid w:val="006A531B"/>
    <w:rsid w:val="006F7693"/>
    <w:rsid w:val="00710140"/>
    <w:rsid w:val="007F2275"/>
    <w:rsid w:val="00863049"/>
    <w:rsid w:val="008A295E"/>
    <w:rsid w:val="00915F0F"/>
    <w:rsid w:val="00936DC2"/>
    <w:rsid w:val="009532DF"/>
    <w:rsid w:val="00992B45"/>
    <w:rsid w:val="00997019"/>
    <w:rsid w:val="009A5029"/>
    <w:rsid w:val="009B2D48"/>
    <w:rsid w:val="009D38D5"/>
    <w:rsid w:val="009F6606"/>
    <w:rsid w:val="00A53F26"/>
    <w:rsid w:val="00A66AC4"/>
    <w:rsid w:val="00AA0CC5"/>
    <w:rsid w:val="00AE0D82"/>
    <w:rsid w:val="00B16AFE"/>
    <w:rsid w:val="00B252C2"/>
    <w:rsid w:val="00B65DD5"/>
    <w:rsid w:val="00BD10B6"/>
    <w:rsid w:val="00C07076"/>
    <w:rsid w:val="00CB00DF"/>
    <w:rsid w:val="00D049E6"/>
    <w:rsid w:val="00D248C7"/>
    <w:rsid w:val="00D716B9"/>
    <w:rsid w:val="00D73C72"/>
    <w:rsid w:val="00E0592B"/>
    <w:rsid w:val="00E31738"/>
    <w:rsid w:val="00E62D90"/>
    <w:rsid w:val="00E86786"/>
    <w:rsid w:val="00ED2F80"/>
    <w:rsid w:val="00EE0F05"/>
    <w:rsid w:val="00F13D05"/>
    <w:rsid w:val="00F1624E"/>
    <w:rsid w:val="00F32F8A"/>
    <w:rsid w:val="00F64968"/>
    <w:rsid w:val="00F810AA"/>
    <w:rsid w:val="00FA12CC"/>
    <w:rsid w:val="00FB43EC"/>
    <w:rsid w:val="00FB6B40"/>
    <w:rsid w:val="43E6289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2"/>
    <w:semiHidden/>
    <w:unhideWhenUsed/>
    <w:uiPriority w:val="99"/>
    <w:rPr>
      <w:b/>
      <w:bCs/>
    </w:rPr>
  </w:style>
  <w:style w:type="paragraph" w:styleId="3">
    <w:name w:val="annotation text"/>
    <w:basedOn w:val="1"/>
    <w:link w:val="11"/>
    <w:semiHidden/>
    <w:unhideWhenUsed/>
    <w:uiPriority w:val="99"/>
    <w:pPr>
      <w:jc w:val="left"/>
    </w:p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character" w:styleId="7">
    <w:name w:val="annotation reference"/>
    <w:basedOn w:val="6"/>
    <w:semiHidden/>
    <w:unhideWhenUsed/>
    <w:uiPriority w:val="99"/>
    <w:rPr>
      <w:sz w:val="21"/>
      <w:szCs w:val="21"/>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0">
    <w:name w:val="List Paragraph"/>
    <w:basedOn w:val="1"/>
    <w:qFormat/>
    <w:uiPriority w:val="34"/>
    <w:pPr>
      <w:ind w:firstLine="420" w:firstLineChars="200"/>
    </w:pPr>
  </w:style>
  <w:style w:type="character" w:customStyle="1" w:styleId="11">
    <w:name w:val="批注文字 字符"/>
    <w:basedOn w:val="6"/>
    <w:link w:val="3"/>
    <w:semiHidden/>
    <w:uiPriority w:val="99"/>
    <w:rPr>
      <w:rFonts w:ascii="Calibri" w:hAnsi="Calibri" w:eastAsia="宋体" w:cs="Times New Roman"/>
    </w:rPr>
  </w:style>
  <w:style w:type="character" w:customStyle="1" w:styleId="12">
    <w:name w:val="批注主题 字符"/>
    <w:basedOn w:val="11"/>
    <w:link w:val="2"/>
    <w:semiHidden/>
    <w:uiPriority w:val="99"/>
    <w:rPr>
      <w:rFonts w:ascii="Calibri" w:hAnsi="Calibri" w:eastAsia="宋体" w:cs="Times New Roman"/>
      <w:b/>
      <w:bCs/>
    </w:rPr>
  </w:style>
  <w:style w:type="paragraph" w:customStyle="1" w:styleId="13">
    <w:name w:val="Revision"/>
    <w:hidden/>
    <w:semiHidden/>
    <w:uiPriority w:val="99"/>
    <w:rPr>
      <w:rFonts w:ascii="Calibri" w:hAnsi="Calibri" w:eastAsia="宋体" w:cs="Times New Roman"/>
      <w:kern w:val="2"/>
      <w:sz w:val="21"/>
      <w:szCs w:val="22"/>
      <w:lang w:val="en-US" w:eastAsia="zh-CN" w:bidi="ar-SA"/>
    </w:rPr>
  </w:style>
  <w:style w:type="character" w:customStyle="1" w:styleId="14">
    <w:name w:val="页眉 字符"/>
    <w:basedOn w:val="6"/>
    <w:link w:val="5"/>
    <w:uiPriority w:val="99"/>
    <w:rPr>
      <w:rFonts w:ascii="Calibri" w:hAnsi="Calibri" w:eastAsia="宋体" w:cs="Times New Roman"/>
      <w:sz w:val="18"/>
      <w:szCs w:val="18"/>
    </w:rPr>
  </w:style>
  <w:style w:type="character" w:customStyle="1" w:styleId="15">
    <w:name w:val="页脚 字符"/>
    <w:basedOn w:val="6"/>
    <w:link w:val="4"/>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175</Words>
  <Characters>1001</Characters>
  <Lines>8</Lines>
  <Paragraphs>2</Paragraphs>
  <TotalTime>2</TotalTime>
  <ScaleCrop>false</ScaleCrop>
  <LinksUpToDate>false</LinksUpToDate>
  <CharactersWithSpaces>1174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2021-08-10T07:19:00Z</dcterms:created>
  <dc:creator>陈媚</dc:creator>
  <cp:lastModifiedBy>武兴伟</cp:lastModifiedBy>
  <dcterms:modified xsi:type="dcterms:W3CDTF">2021-12-16T07:17:02Z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