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7.0.0 -->
  <w:body>
    <w:p w:rsidR="00441B2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 xml:space="preserve"> </w:t>
      </w:r>
    </w:p>
    <w:p w:rsidR="00441B2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441B2F">
      <w:pPr>
        <w:spacing w:line="440" w:lineRule="exact"/>
        <w:rPr>
          <w:rFonts w:ascii="黑体" w:eastAsia="黑体" w:hAnsi="Times New Roman"/>
          <w:sz w:val="28"/>
          <w:szCs w:val="28"/>
        </w:rPr>
      </w:pPr>
      <w:bookmarkEnd w:id="0"/>
    </w:p>
    <w:p w:rsidR="00441B2F">
      <w:pPr>
        <w:spacing w:line="440" w:lineRule="exact"/>
        <w:ind w:firstLine="604" w:firstLineChars="302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29"/>
        <w:gridCol w:w="2146"/>
        <w:gridCol w:w="4883"/>
      </w:tblGrid>
      <w:tr>
        <w:tblPrEx>
          <w:tblW w:w="875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1809" w:type="dxa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441B2F" w:rsidP="00ED4A74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安联可再生能源合伙卢森堡第六有限公司收购Vattenfall荷兰南海岸伯仲有限合伙公司等2家公司股权案</w:t>
            </w:r>
          </w:p>
        </w:tc>
      </w:tr>
      <w:tr>
        <w:tblPrEx>
          <w:tblW w:w="8758" w:type="dxa"/>
          <w:tblLook w:val="04A0"/>
        </w:tblPrEx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ED4A74" w:rsidRPr="00ED4A74" w:rsidP="00A31C0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2021年12月3日，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安联可再生能源合伙卢森堡第六有限公司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A31C0E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AREP</w:t>
            </w:r>
            <w:r w:rsidRPr="00A31C0E"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31C0E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VI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B44D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A31C0E" w:rsidR="00B44D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巴斯夫股份公司</w:t>
            </w:r>
            <w:r w:rsidR="00B44D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的全资子公司</w:t>
            </w:r>
            <w:r w:rsidRPr="00B44D73" w:rsidR="00B44D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BASF荷兰有限公司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签署了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《股权收购协议》。根据该协议，AREP VI将从</w:t>
            </w:r>
            <w:r w:rsidRPr="00B44D73" w:rsidR="00B44D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BASF荷兰有限公司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收购HKZ投资控股有限公司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（“</w:t>
            </w:r>
            <w:r w:rsidRPr="00A31C0E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HKZ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”）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的51%股份，而</w:t>
            </w:r>
            <w:r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因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HKZ持有</w:t>
            </w:r>
            <w:r w:rsidRPr="006A43A7"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Vattenfall荷兰南海岸伯仲有限合伙公司</w:t>
            </w:r>
            <w:r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和</w:t>
            </w:r>
            <w:r w:rsidRPr="006A43A7"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Vattenfall荷兰南海岸</w:t>
            </w:r>
            <w:r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叔季</w:t>
            </w:r>
            <w:r w:rsidRPr="006A43A7"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有限合伙公司</w:t>
            </w:r>
            <w:r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（“</w:t>
            </w:r>
            <w:r w:rsidRPr="006A43A7" w:rsidR="006A43A7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项目公司</w:t>
            </w:r>
            <w:r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”）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49.49%的股份</w:t>
            </w:r>
            <w:r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，</w:t>
            </w:r>
            <w:r w:rsidRPr="006A43A7" w:rsidR="006A43A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AREP VI将间接收购项目公司25.2399%的股份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</w:tc>
      </w:tr>
      <w:tr>
        <w:tblPrEx>
          <w:tblW w:w="8758" w:type="dxa"/>
          <w:tblLook w:val="04A0"/>
        </w:tblPrEx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31C0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A31C0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A31C0E" w:rsidP="00A31C0E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安联可再生能源合伙卢森堡第六有限公司（Allianz Renewable Energy Partners Luxembourg VI S.A., “</w:t>
            </w:r>
            <w:r w:rsidRPr="00A31C0E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AREP VI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A31C0E" w:rsidP="00B44D7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AREP VI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年11月成立于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卢森堡</w:t>
            </w:r>
            <w:r w:rsidR="00150F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 是</w:t>
            </w:r>
            <w:r w:rsidRPr="00A31C0E" w:rsidR="00B44D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安联（欧洲）股份公司（“</w:t>
            </w:r>
            <w:r w:rsidRPr="00A31C0E" w:rsidR="00B44D73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安联</w:t>
            </w:r>
            <w:r w:rsidRPr="00A31C0E" w:rsidR="00B44D7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50F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的间接全资子公司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。安联是一家全球性金融服务商，主要在保险和资产管理市场开展业务，向全球70多个国家的大约1亿私人及公司客户提供基金及保险产品。</w:t>
            </w:r>
          </w:p>
        </w:tc>
      </w:tr>
      <w:tr>
        <w:tblPrEx>
          <w:tblW w:w="8758" w:type="dxa"/>
          <w:tblLook w:val="04A0"/>
        </w:tblPrEx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A31C0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A31C0E" w:rsidP="009626C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巴斯夫股份公司（BASF SE, “</w:t>
            </w:r>
            <w:r w:rsidRPr="00A31C0E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BASF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”）</w:t>
            </w:r>
          </w:p>
        </w:tc>
        <w:tc>
          <w:tcPr>
            <w:tcW w:w="5153" w:type="dxa"/>
          </w:tcPr>
          <w:p w:rsidR="00A31C0E" w:rsidP="00A31C0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BASF于1952年1月成立于德国。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BASF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是一家国际化学和工业公司。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自2019年起，BASF的产品组合分为11个业务部门和6个板块，包括化学，材料，工业解决方案，表面技术，营养与护理和农业解决方案。</w:t>
            </w:r>
          </w:p>
        </w:tc>
      </w:tr>
      <w:tr>
        <w:tblPrEx>
          <w:tblW w:w="8758" w:type="dxa"/>
          <w:tblLook w:val="04A0"/>
        </w:tblPrEx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A31C0E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A31C0E" w:rsidP="00A31C0E">
            <w:pPr>
              <w:spacing w:line="500" w:lineRule="exact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3、Vattenfall有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限责任公司（Vattenfall AB, “</w:t>
            </w:r>
            <w:r w:rsidRPr="00A31C0E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Vattenfall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A31C0E" w:rsidP="00242FD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Vattenfall是一家瑞典能源公司，成立于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37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A31C0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月，总部位于瑞典索尔纳市。通过子公司，Vattenfall主要在瑞典、德国和荷兰开展业务，主要业务为电力（发电和电力批发、分销和零售）、天然气（批发和零售）、集中供热和区域供冷。</w:t>
            </w:r>
          </w:p>
        </w:tc>
      </w:tr>
      <w:tr>
        <w:tblPrEx>
          <w:tblW w:w="8758" w:type="dxa"/>
          <w:tblLook w:val="04A0"/>
        </w:tblPrEx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>
        <w:tblPrEx>
          <w:tblW w:w="8758" w:type="dxa"/>
          <w:tblLook w:val="04A0"/>
        </w:tblPrEx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>
        <w:tblPrEx>
          <w:tblW w:w="8758" w:type="dxa"/>
          <w:tblLook w:val="04A0"/>
        </w:tblPrEx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W w:w="8758" w:type="dxa"/>
          <w:tblLook w:val="04A0"/>
        </w:tblPrEx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6724E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W w:w="8758" w:type="dxa"/>
          <w:tblLook w:val="04A0"/>
        </w:tblPrEx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Wingdings" w:eastAsia="仿宋" w:hAnsi="Wingdings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724E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W w:w="8758" w:type="dxa"/>
          <w:tblLook w:val="04A0"/>
        </w:tblPrEx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W w:w="8758" w:type="dxa"/>
          <w:tblLook w:val="04A0"/>
        </w:tblPrEx>
        <w:tc>
          <w:tcPr>
            <w:tcW w:w="1809" w:type="dxa"/>
            <w:shd w:val="clear" w:color="auto" w:fill="D9D9D9"/>
            <w:vAlign w:val="center"/>
          </w:tcPr>
          <w:p w:rsidR="00441B2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441B2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:rsidR="00441B2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441B2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441B2F">
      <w:pPr>
        <w:snapToGrid w:val="0"/>
        <w:spacing w:line="360" w:lineRule="auto"/>
        <w:ind w:firstLine="400" w:firstLineChars="200"/>
        <w:jc w:val="left"/>
        <w:rPr>
          <w:rFonts w:ascii="方正仿宋_GBK" w:eastAsia="方正仿宋_GBK" w:hAnsi="宋体"/>
          <w:sz w:val="24"/>
          <w:szCs w:val="24"/>
        </w:rPr>
      </w:pPr>
      <w:r>
        <w:rPr>
          <w:rFonts w:ascii="方正仿宋_GBK" w:eastAsia="方正仿宋_GBK" w:hAnsi="宋体" w:hint="eastAsia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441B2F">
      <w:pPr>
        <w:spacing w:line="360" w:lineRule="auto"/>
        <w:ind w:firstLine="400" w:firstLineChars="200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宋体" w:hint="eastAsia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方正仿宋_GBK" w:eastAsia="方正仿宋_GBK" w:hAnsi="宋体" w:hint="eastAsia"/>
          <w:sz w:val="24"/>
          <w:szCs w:val="24"/>
        </w:rPr>
        <w:br/>
      </w:r>
      <w:r>
        <w:rPr>
          <w:rFonts w:ascii="方正仿宋_GBK" w:eastAsia="方正仿宋_GBK" w:hAnsi="宋体" w:hint="eastAsia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headerReference w:type="default" r:id="rId4"/>
      <w:footerReference w:type="default" r:id="rId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 Light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41B2F">
    <w:pPr>
      <w:pStyle w:val="Footer"/>
      <w:spacing w:before="560"/>
    </w:pPr>
    <w:r>
      <w:t xml:space="preserve"> </w:t>
    </w:r>
  </w:p>
  <w:sdt>
    <w:sdtPr>
      <w:alias w:val="LX-DOCUMENTID_4aff25dc-0bbf-49e4-a3b1-7a1fbf7c5031"/>
      <w:tag w:val="LX-DOCUMENTID"/>
      <w:id w:val="1836341912"/>
      <w:placeholder>
        <w:docPart w:val="DefaultPlaceholder_-1854013440"/>
      </w:placeholder>
      <w:richText/>
    </w:sdtPr>
    <w:sdtContent>
      <w:p w:rsidR="00075D1F" w:rsidP="00075D1F">
        <w:pPr>
          <w:pStyle w:val="DocsID"/>
        </w:pPr>
        <w:r>
          <w:t>HOK-#638493000-v1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41B2F">
    <w:pPr>
      <w:pStyle w:val="Header"/>
      <w:wordWrap w:val="0"/>
      <w:jc w:val="right"/>
      <w:rPr>
        <w:b/>
      </w:rPr>
    </w:pP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8F24BE6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E625B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210ADB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978EDF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444139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A9E996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2C8618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B6805B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3F8D8A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5C4FA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1021" w:allStyles="1" w:alternateStyleNames="0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smallFrac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29" w:unhideWhenUsed="1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uiPriority w:val="29"/>
    <w:unhideWhenUsed/>
    <w:qFormat/>
    <w:pPr>
      <w:widowControl w:val="0"/>
      <w:jc w:val="both"/>
    </w:pPr>
    <w:rPr>
      <w:rFonts w:ascii="Calibri" w:eastAsia="宋体" w:hAnsi="Calibri" w:cs="Times New Roman"/>
    </w:rPr>
  </w:style>
  <w:style w:type="paragraph" w:styleId="Heading1">
    <w:name w:val="heading 1"/>
    <w:basedOn w:val="Normal"/>
    <w:next w:val="Normal"/>
    <w:link w:val="Heading1Char"/>
    <w:uiPriority w:val="99"/>
    <w:semiHidden/>
    <w:unhideWhenUsed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宋体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eastAsia="宋体" w:hAnsi="Calibri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Calibri" w:eastAsia="宋体" w:hAnsi="Calibri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Calibri" w:eastAsia="宋体" w:hAnsi="Calibri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Calibri" w:eastAsia="宋体" w:hAnsi="Calibri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Calibri" w:eastAsia="宋体" w:hAnsi="Calibri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Calibri" w:eastAsia="宋体" w:hAnsi="Calibri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Calibri" w:eastAsia="宋体" w:hAnsi="Calibri"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Calibri" w:eastAsia="宋体" w:hAnsi="Calibri" w:cs="Times New Roman"/>
      <w:sz w:val="16"/>
      <w:szCs w:val="16"/>
    </w:rPr>
  </w:style>
  <w:style w:type="character" w:styleId="BookTitle">
    <w:name w:val="Book Title"/>
    <w:basedOn w:val="DefaultParagraphFont"/>
    <w:uiPriority w:val="99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99"/>
    <w:semiHidden/>
    <w:unhideWhenUsed/>
    <w:pPr>
      <w:spacing w:after="200"/>
    </w:pPr>
    <w:rPr>
      <w:b/>
      <w:bCs/>
      <w:color w:val="4472C4" w:themeColor="accent1"/>
      <w:sz w:val="18"/>
      <w:szCs w:val="18"/>
    </w:rPr>
  </w:style>
  <w:style w:type="paragraph" w:styleId="Closing">
    <w:name w:val="Closing"/>
    <w:basedOn w:val="Normal"/>
    <w:link w:val="ClosingChar"/>
    <w:uiPriority w:val="29"/>
    <w:unhideWhenUsed/>
    <w:qFormat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Calibri" w:eastAsia="宋体" w:hAnsi="Calibri" w:cs="Times New Roman"/>
    </w:rPr>
  </w:style>
  <w:style w:type="table" w:styleId="ColorfulGrid">
    <w:name w:val="Colorful Grid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Accent2">
    <w:name w:val="Colorful Grid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Accent3">
    <w:name w:val="Colorful Grid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Accent4">
    <w:name w:val="Colorful Grid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Accent5">
    <w:name w:val="Colorful Grid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Accent6">
    <w:name w:val="Colorful Grid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Accent2">
    <w:name w:val="Colorful List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Accent3">
    <w:name w:val="Colorful List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Accent4">
    <w:name w:val="Colorful List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Accent5">
    <w:name w:val="Colorful List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Accent6">
    <w:name w:val="Colorful List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Accent4">
    <w:name w:val="Colorful Shading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eastAsia="宋体" w:hAnsi="Calibri" w:cs="Times New Roman"/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Accent2">
    <w:name w:val="Dark List Accent 2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Accent3">
    <w:name w:val="Dark List Accent 3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Accent4">
    <w:name w:val="Dark List Accent 4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Accent5">
    <w:name w:val="Dark List Accent 5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Accent6">
    <w:name w:val="Dark List Accent 6"/>
    <w:basedOn w:val="TableNormal"/>
    <w:uiPriority w:val="99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29"/>
    <w:unhideWhenUsed/>
    <w:qFormat/>
  </w:style>
  <w:style w:type="character" w:customStyle="1" w:styleId="DateChar">
    <w:name w:val="Date Char"/>
    <w:basedOn w:val="DefaultParagraphFont"/>
    <w:link w:val="Date"/>
    <w:uiPriority w:val="99"/>
    <w:semiHidden/>
    <w:rPr>
      <w:rFonts w:ascii="Calibri" w:eastAsia="宋体" w:hAnsi="Calibri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eastAsia="宋体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Calibri" w:eastAsia="宋体" w:hAnsi="Calibri" w:cs="Times New Roman"/>
    </w:rPr>
  </w:style>
  <w:style w:type="character" w:styleId="Emphasis">
    <w:name w:val="Emphasis"/>
    <w:basedOn w:val="DefaultParagraphFont"/>
    <w:uiPriority w:val="99"/>
    <w:semiHidden/>
    <w:unhideWhenUsed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Calibri" w:eastAsia="宋体" w:hAnsi="Calibri" w:cs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Calibri" w:eastAsia="宋体" w:hAnsi="Calibri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Calibri" w:eastAsia="宋体" w:hAnsi="Calibri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宋体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99"/>
    <w:semiHidden/>
    <w:unhideWhenUsed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libri" w:eastAsia="宋体" w:hAnsi="Calibri" w:cs="Times New Roman"/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99"/>
    <w:semiHidden/>
    <w:unhideWhenUsed/>
    <w:rPr>
      <w:b/>
      <w:bCs/>
      <w:smallCaps/>
      <w:color w:val="ED7D31" w:themeColor="accent2"/>
      <w:spacing w:val="5"/>
      <w:u w:val="single"/>
    </w:rPr>
  </w:style>
  <w:style w:type="table" w:styleId="LightGrid">
    <w:name w:val="Light Grid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Accent2">
    <w:name w:val="Light Grid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Accent3">
    <w:name w:val="Light Grid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Accent4">
    <w:name w:val="Light Grid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Accent5">
    <w:name w:val="Light Grid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Accent6">
    <w:name w:val="Light Grid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Accent2">
    <w:name w:val="Light List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Accent3">
    <w:name w:val="Light List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Accent4">
    <w:name w:val="Light List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Accent5">
    <w:name w:val="Light List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Accent6">
    <w:name w:val="Light List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99"/>
    <w:semiHidden/>
    <w:unhideWhenUsed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Accent2">
    <w:name w:val="Light Shading Accent 2"/>
    <w:basedOn w:val="TableNormal"/>
    <w:uiPriority w:val="99"/>
    <w:semiHidden/>
    <w:unhideWhenUsed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Accent3">
    <w:name w:val="Light Shading Accent 3"/>
    <w:basedOn w:val="TableNormal"/>
    <w:uiPriority w:val="99"/>
    <w:semiHidden/>
    <w:unhideWhenUsed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Accent4">
    <w:name w:val="Light Shading Accent 4"/>
    <w:basedOn w:val="TableNormal"/>
    <w:uiPriority w:val="99"/>
    <w:semiHidden/>
    <w:unhideWhenUsed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Accent5">
    <w:name w:val="Light Shading Accent 5"/>
    <w:basedOn w:val="TableNormal"/>
    <w:uiPriority w:val="99"/>
    <w:semiHidden/>
    <w:unhideWhenUsed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Accent6">
    <w:name w:val="Light Shading Accent 6"/>
    <w:basedOn w:val="TableNormal"/>
    <w:uiPriority w:val="99"/>
    <w:semiHidden/>
    <w:unhideWhenUsed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  <w:style w:type="paragraph" w:styleId="Macro">
    <w:name w:val="macro"/>
    <w:link w:val="MacroTextChar"/>
    <w:uiPriority w:val="99"/>
    <w:semiHidden/>
    <w:unhideWhenUs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宋体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semiHidden/>
    <w:rPr>
      <w:rFonts w:ascii="Consolas" w:eastAsia="宋体" w:hAnsi="Consolas" w:cs="Consolas"/>
      <w:sz w:val="20"/>
      <w:szCs w:val="20"/>
    </w:rPr>
  </w:style>
  <w:style w:type="table" w:styleId="MediumGrid1">
    <w:name w:val="Medium Grid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Accent2">
    <w:name w:val="Medium Grid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Accent3">
    <w:name w:val="Medium Grid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Accent4">
    <w:name w:val="Medium Grid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Accent5">
    <w:name w:val="Medium Grid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Accent6">
    <w:name w:val="Medium Grid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Accent2">
    <w:name w:val="Medium Grid 3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Accent3">
    <w:name w:val="Medium Grid 3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Accent4">
    <w:name w:val="Medium Grid 3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Accent5">
    <w:name w:val="Medium Grid 3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Accent6">
    <w:name w:val="Medium Grid 3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Accent2">
    <w:name w:val="Medium List 1 Accent 2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Accent3">
    <w:name w:val="Medium List 1 Accent 3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Accent4">
    <w:name w:val="Medium List 1 Accent 4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Accent5">
    <w:name w:val="Medium List 1 Accent 5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Accent6">
    <w:name w:val="Medium List 1 Accent 6"/>
    <w:basedOn w:val="TableNormal"/>
    <w:uiPriority w:val="99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99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99"/>
    <w:semiHidden/>
    <w:unhideWhenUsed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99"/>
    <w:semiHidden/>
    <w:unhideWhenUsed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pPr>
      <w:widowControl w:val="0"/>
      <w:jc w:val="both"/>
    </w:pPr>
    <w:rPr>
      <w:rFonts w:ascii="Calibri" w:eastAsia="宋体" w:hAnsi="Calibri" w:cs="Times New Roman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customStyle="1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Calibri" w:eastAsia="宋体" w:hAnsi="Calibri" w:cs="Times New Roman"/>
    </w:rPr>
  </w:style>
  <w:style w:type="character" w:styleId="PageNumber">
    <w:name w:val="page number"/>
    <w:basedOn w:val="DefaultParagraphFont"/>
    <w:uiPriority w:val="29"/>
    <w:unhideWhenUsed/>
    <w:qFormat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宋体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rFonts w:ascii="Calibri" w:eastAsia="宋体" w:hAnsi="Calibri" w:cs="Times New Roman"/>
      <w:i/>
      <w:iCs/>
      <w:color w:val="000000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Calibri" w:eastAsia="宋体" w:hAnsi="Calibri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Calibri" w:eastAsia="宋体" w:hAnsi="Calibri" w:cs="Times New Roman"/>
    </w:rPr>
  </w:style>
  <w:style w:type="character" w:styleId="Strong">
    <w:name w:val="Strong"/>
    <w:basedOn w:val="DefaultParagraphFont"/>
    <w:uiPriority w:val="99"/>
    <w:semiHidden/>
    <w:unhideWhenUsed/>
    <w:rPr>
      <w:b/>
      <w:bCs/>
    </w:rPr>
  </w:style>
  <w:style w:type="paragraph" w:styleId="Subtitle">
    <w:name w:val="Subtitle"/>
    <w:basedOn w:val="Normal"/>
    <w:next w:val="Normal"/>
    <w:link w:val="SubtitleChar"/>
    <w:uiPriority w:val="99"/>
    <w:semiHidden/>
    <w:unhideWhenUsed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99"/>
    <w:semiHidden/>
    <w:unhideWhenUsed/>
    <w:rPr>
      <w:smallCaps/>
      <w:color w:val="ED7D31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10" w:hanging="21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99"/>
    <w:semiHidden/>
    <w:unhideWhenUsed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9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9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9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9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9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9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99"/>
    <w:semiHidden/>
    <w:unhideWhenUsed/>
    <w:pPr>
      <w:spacing w:after="100"/>
      <w:ind w:left="1680"/>
    </w:pPr>
  </w:style>
  <w:style w:type="paragraph" w:styleId="TOCHeading">
    <w:name w:val="TOC Heading"/>
    <w:basedOn w:val="Heading1"/>
    <w:next w:val="Normal"/>
    <w:uiPriority w:val="99"/>
    <w:semiHidden/>
    <w:unhideWhenUsed/>
    <w:pPr>
      <w:outlineLvl w:val="9"/>
    </w:pPr>
  </w:style>
  <w:style w:type="paragraph" w:customStyle="1" w:styleId="DocsID">
    <w:name w:val="DocsID"/>
    <w:basedOn w:val="Normal"/>
    <w:uiPriority w:val="29"/>
    <w:qFormat/>
    <w:pPr>
      <w:widowControl/>
      <w:spacing w:before="20"/>
      <w:jc w:val="left"/>
    </w:pPr>
    <w:rPr>
      <w:rFonts w:ascii="Arial" w:eastAsia="Times New Roman" w:hAnsi="Arial"/>
      <w:kern w:val="0"/>
      <w:sz w:val="16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3AC84-4380-4EA1-8F94-7200E4905EB8}"/>
      </w:docPartPr>
      <w:docPartBody>
        <w:p w:rsidR="00E45A34">
          <w:r w:rsidRPr="005D00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仿宋">
    <w:altName w:val="Microsoft YaHei Light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38CF7CFA" w:usb2="00000016" w:usb3="00000000" w:csb0="00040001" w:csb1="00000000"/>
  </w:font>
  <w:font w:name="方正仿宋_GBK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1" w:formatting="0" w:inkAnnotations="1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4959F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1393</Characters>
  <Application>Microsoft Office Word</Application>
  <DocSecurity>0</DocSecurity>
  <Lines>10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