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30"/>
          <w:szCs w:val="30"/>
        </w:rPr>
      </w:pPr>
      <w:r>
        <w:rPr>
          <w:rFonts w:ascii="Times New Roman" w:hAnsi="Times New Roman"/>
          <w:b/>
          <w:bCs/>
          <w:sz w:val="30"/>
          <w:szCs w:val="30"/>
        </w:rPr>
        <w:t>经营者集中简易案件公示表</w:t>
      </w:r>
    </w:p>
    <w:p>
      <w:pPr>
        <w:spacing w:line="440" w:lineRule="exact"/>
        <w:ind w:firstLine="845" w:firstLineChars="302"/>
        <w:rPr>
          <w:rFonts w:ascii="Times New Roman" w:hAnsi="Times New Roman"/>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案件名称</w:t>
            </w:r>
          </w:p>
        </w:tc>
        <w:tc>
          <w:tcPr>
            <w:tcW w:w="6949" w:type="dxa"/>
            <w:gridSpan w:val="2"/>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中远海运特种运输股份有限公司与上港集团物流有限公司新设合营企业案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交易概况</w:t>
            </w:r>
          </w:p>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（限200字内）</w:t>
            </w:r>
          </w:p>
        </w:tc>
        <w:tc>
          <w:tcPr>
            <w:tcW w:w="6949" w:type="dxa"/>
            <w:gridSpan w:val="2"/>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中远海运特种运输股份有限公司（“中远海特”）与上港集团物流有限公司（“上港物流”）新设合营企业案拟共同出资新设一家合营企业，从事长三角地区及长江流域省份纸浆供应链管理服务相关业务。双方各自出资并持股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41" w:hRule="atLeast"/>
        </w:trPr>
        <w:tc>
          <w:tcPr>
            <w:tcW w:w="1809" w:type="dxa"/>
            <w:vMerge w:val="restart"/>
            <w:shd w:val="clear" w:color="auto" w:fill="D9D9D9"/>
            <w:vAlign w:val="center"/>
          </w:tcPr>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参与集中的</w:t>
            </w:r>
          </w:p>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经营者简介</w:t>
            </w:r>
          </w:p>
        </w:tc>
        <w:tc>
          <w:tcPr>
            <w:tcW w:w="1796" w:type="dxa"/>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1</w:t>
            </w:r>
            <w:r>
              <w:rPr>
                <w:rFonts w:ascii="Times New Roman" w:hAnsi="Times New Roman"/>
                <w:color w:val="333333"/>
                <w:kern w:val="0"/>
                <w:sz w:val="24"/>
                <w:szCs w:val="24"/>
              </w:rPr>
              <w:t>、</w:t>
            </w:r>
            <w:r>
              <w:rPr>
                <w:rFonts w:hint="eastAsia" w:ascii="Times New Roman" w:hAnsi="Times New Roman"/>
                <w:color w:val="333333"/>
                <w:kern w:val="0"/>
                <w:sz w:val="24"/>
                <w:szCs w:val="24"/>
              </w:rPr>
              <w:t>中远海特</w:t>
            </w:r>
          </w:p>
        </w:tc>
        <w:tc>
          <w:tcPr>
            <w:tcW w:w="5153" w:type="dxa"/>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中远海特成立于1</w:t>
            </w:r>
            <w:r>
              <w:rPr>
                <w:rFonts w:ascii="Times New Roman" w:hAnsi="Times New Roman"/>
                <w:color w:val="333333"/>
                <w:kern w:val="0"/>
                <w:sz w:val="24"/>
                <w:szCs w:val="24"/>
              </w:rPr>
              <w:t>999</w:t>
            </w:r>
            <w:r>
              <w:rPr>
                <w:rFonts w:hint="eastAsia" w:ascii="Times New Roman" w:hAnsi="Times New Roman"/>
                <w:color w:val="333333"/>
                <w:kern w:val="0"/>
                <w:sz w:val="24"/>
                <w:szCs w:val="24"/>
              </w:rPr>
              <w:t>年，是中国远洋海运集团控股的上市公司，主营特种船运输及相关业务。经营管理半潜船、多用途船、重吊船、汽车船、木材船和沥青船等各类型船舶100多艘300多万载重吨。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1796" w:type="dxa"/>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2</w:t>
            </w:r>
            <w:r>
              <w:rPr>
                <w:rFonts w:ascii="Times New Roman" w:hAnsi="Times New Roman"/>
                <w:color w:val="333333"/>
                <w:kern w:val="0"/>
                <w:sz w:val="24"/>
                <w:szCs w:val="24"/>
              </w:rPr>
              <w:t>、</w:t>
            </w:r>
            <w:r>
              <w:rPr>
                <w:rFonts w:hint="eastAsia" w:ascii="Times New Roman" w:hAnsi="Times New Roman"/>
                <w:color w:val="333333"/>
                <w:kern w:val="0"/>
                <w:sz w:val="24"/>
                <w:szCs w:val="24"/>
              </w:rPr>
              <w:t>上港物流</w:t>
            </w:r>
          </w:p>
        </w:tc>
        <w:tc>
          <w:tcPr>
            <w:tcW w:w="5153" w:type="dxa"/>
          </w:tcPr>
          <w:p>
            <w:pPr>
              <w:spacing w:before="120" w:after="120"/>
              <w:rPr>
                <w:rFonts w:ascii="Times New Roman" w:hAnsi="Times New Roman"/>
                <w:color w:val="333333"/>
                <w:kern w:val="0"/>
                <w:sz w:val="24"/>
                <w:szCs w:val="24"/>
              </w:rPr>
            </w:pPr>
            <w:r>
              <w:rPr>
                <w:rFonts w:hint="eastAsia" w:ascii="Times New Roman" w:hAnsi="Times New Roman"/>
                <w:color w:val="333333"/>
                <w:kern w:val="0"/>
                <w:sz w:val="24"/>
                <w:szCs w:val="24"/>
              </w:rPr>
              <w:t>上港物流是是上海国际港务（集团）股份有限公司全资子公司。经营范围涵盖了仓储堆存、陆路运输、危险品储运、船舶代理、国际货运代理、重大件货物接运、散杂货码头装卸、多式联运、集装箱装拆箱、拼箱等全方位物流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简易案件理由（可以单选，也可以多选）</w:t>
            </w: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w:t>
            </w:r>
            <w:r>
              <w:rPr>
                <w:rFonts w:ascii="Times New Roman" w:hAnsi="Times New Roman"/>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sym w:font="Wingdings" w:char="F0FE"/>
            </w:r>
            <w:r>
              <w:rPr>
                <w:rFonts w:ascii="Times New Roman" w:hAnsi="Times New Roman"/>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20" w:after="120"/>
              <w:jc w:val="center"/>
              <w:rPr>
                <w:rFonts w:ascii="Times New Roman" w:hAnsi="Times New Roman"/>
                <w:b/>
                <w:bCs/>
                <w:color w:val="333333"/>
                <w:kern w:val="0"/>
                <w:sz w:val="24"/>
                <w:szCs w:val="24"/>
              </w:rPr>
            </w:pPr>
          </w:p>
        </w:tc>
        <w:tc>
          <w:tcPr>
            <w:tcW w:w="6949" w:type="dxa"/>
            <w:gridSpan w:val="2"/>
          </w:tcPr>
          <w:p>
            <w:pPr>
              <w:spacing w:before="120" w:after="120"/>
              <w:rPr>
                <w:rFonts w:ascii="Times New Roman" w:hAnsi="Times New Roman"/>
                <w:color w:val="333333"/>
                <w:kern w:val="0"/>
                <w:sz w:val="24"/>
                <w:szCs w:val="24"/>
              </w:rPr>
            </w:pPr>
            <w:r>
              <w:rPr>
                <w:rFonts w:ascii="Times New Roman" w:hAnsi="Times New Roman"/>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before="120" w:after="120"/>
              <w:jc w:val="center"/>
              <w:rPr>
                <w:rFonts w:ascii="Times New Roman" w:hAnsi="Times New Roman"/>
                <w:b/>
                <w:bCs/>
                <w:color w:val="333333"/>
                <w:kern w:val="0"/>
                <w:sz w:val="24"/>
                <w:szCs w:val="24"/>
              </w:rPr>
            </w:pPr>
            <w:r>
              <w:rPr>
                <w:rFonts w:ascii="Times New Roman" w:hAnsi="Times New Roman"/>
                <w:b/>
                <w:bCs/>
                <w:color w:val="333333"/>
                <w:kern w:val="0"/>
                <w:sz w:val="24"/>
                <w:szCs w:val="24"/>
              </w:rPr>
              <w:t>备注</w:t>
            </w:r>
          </w:p>
        </w:tc>
        <w:tc>
          <w:tcPr>
            <w:tcW w:w="6949" w:type="dxa"/>
            <w:gridSpan w:val="2"/>
          </w:tcPr>
          <w:p>
            <w:pPr>
              <w:spacing w:before="120" w:after="120"/>
              <w:rPr>
                <w:rFonts w:ascii="仿宋" w:hAnsi="仿宋" w:cs="宋体"/>
                <w:kern w:val="0"/>
                <w:sz w:val="24"/>
                <w:szCs w:val="24"/>
              </w:rPr>
            </w:pPr>
            <w:r>
              <w:rPr>
                <w:rFonts w:hint="eastAsia" w:ascii="仿宋" w:hAnsi="仿宋" w:cs="宋体"/>
                <w:kern w:val="0"/>
                <w:sz w:val="24"/>
                <w:szCs w:val="24"/>
              </w:rPr>
              <w:t>参与集中的经营者在相关市场的市场份额如下：</w:t>
            </w:r>
          </w:p>
          <w:p>
            <w:pPr>
              <w:spacing w:before="120" w:after="120"/>
              <w:rPr>
                <w:rFonts w:ascii="仿宋" w:hAnsi="仿宋" w:cs="宋体"/>
                <w:kern w:val="0"/>
                <w:sz w:val="24"/>
                <w:szCs w:val="24"/>
                <w:u w:val="single"/>
              </w:rPr>
            </w:pPr>
            <w:r>
              <w:rPr>
                <w:rFonts w:hint="eastAsia" w:ascii="Times New Roman" w:hAnsi="Times New Roman"/>
                <w:color w:val="000000" w:themeColor="text1"/>
                <w:kern w:val="0"/>
                <w:sz w:val="24"/>
                <w:szCs w:val="24"/>
                <w:u w:val="single"/>
                <w14:textFill>
                  <w14:solidFill>
                    <w14:schemeClr w14:val="tx1"/>
                  </w14:solidFill>
                </w14:textFill>
              </w:rPr>
              <w:t>长三角地区及长江流域省份纸浆供应链管理</w:t>
            </w:r>
            <w:r>
              <w:rPr>
                <w:rFonts w:hint="eastAsia" w:ascii="仿宋" w:hAnsi="仿宋" w:cs="宋体"/>
                <w:kern w:val="0"/>
                <w:sz w:val="24"/>
                <w:szCs w:val="24"/>
                <w:u w:val="single"/>
              </w:rPr>
              <w:t>服务市场</w:t>
            </w:r>
          </w:p>
          <w:p>
            <w:pPr>
              <w:pStyle w:val="16"/>
              <w:numPr>
                <w:ilvl w:val="0"/>
                <w:numId w:val="1"/>
              </w:numPr>
              <w:spacing w:before="120" w:after="120"/>
              <w:ind w:left="596" w:firstLineChars="0"/>
              <w:jc w:val="both"/>
              <w:rPr>
                <w:rFonts w:ascii="仿宋" w:hAnsi="仿宋"/>
              </w:rPr>
            </w:pPr>
            <w:r>
              <w:rPr>
                <w:rFonts w:hint="eastAsia" w:ascii="仿宋" w:hAnsi="仿宋"/>
              </w:rPr>
              <w:t>中远海特：</w:t>
            </w:r>
            <w:r>
              <w:rPr>
                <w:rFonts w:ascii="仿宋" w:hAnsi="仿宋"/>
              </w:rPr>
              <w:t>[</w:t>
            </w:r>
            <w:r>
              <w:rPr>
                <w:rFonts w:hint="eastAsia" w:ascii="仿宋" w:hAnsi="仿宋"/>
              </w:rPr>
              <w:t>0</w:t>
            </w:r>
            <w:r>
              <w:rPr>
                <w:rFonts w:ascii="仿宋" w:hAnsi="仿宋"/>
              </w:rPr>
              <w:t>-5]</w:t>
            </w:r>
            <w:r>
              <w:rPr>
                <w:rFonts w:hint="eastAsia" w:ascii="仿宋" w:hAnsi="仿宋"/>
              </w:rPr>
              <w:t>%</w:t>
            </w:r>
          </w:p>
          <w:p>
            <w:pPr>
              <w:pStyle w:val="16"/>
              <w:numPr>
                <w:ilvl w:val="0"/>
                <w:numId w:val="1"/>
              </w:numPr>
              <w:spacing w:before="120" w:after="120"/>
              <w:ind w:left="596" w:firstLineChars="0"/>
              <w:jc w:val="both"/>
              <w:rPr>
                <w:rFonts w:ascii="仿宋" w:hAnsi="仿宋"/>
                <w:color w:val="333333"/>
              </w:rPr>
            </w:pPr>
            <w:r>
              <w:rPr>
                <w:rFonts w:hint="eastAsia" w:ascii="仿宋" w:hAnsi="仿宋"/>
              </w:rPr>
              <w:t>上港物流：</w:t>
            </w:r>
            <w:r>
              <w:rPr>
                <w:rFonts w:ascii="仿宋" w:hAnsi="仿宋"/>
              </w:rPr>
              <w:t>[</w:t>
            </w:r>
            <w:r>
              <w:rPr>
                <w:rFonts w:hint="eastAsia" w:ascii="仿宋" w:hAnsi="仿宋"/>
              </w:rPr>
              <w:t>0</w:t>
            </w:r>
            <w:r>
              <w:rPr>
                <w:rFonts w:ascii="仿宋" w:hAnsi="仿宋"/>
              </w:rPr>
              <w:t>-5]</w:t>
            </w:r>
            <w:r>
              <w:rPr>
                <w:rFonts w:hint="eastAsia" w:ascii="仿宋" w:hAnsi="仿宋"/>
              </w:rPr>
              <w:t>%</w:t>
            </w:r>
          </w:p>
        </w:tc>
      </w:tr>
    </w:tbl>
    <w:p>
      <w:pPr>
        <w:snapToGrid w:val="0"/>
        <w:spacing w:line="240" w:lineRule="exact"/>
        <w:jc w:val="left"/>
        <w:rPr>
          <w:rFonts w:ascii="Times New Roman" w:hAnsi="Times New Roman"/>
          <w:sz w:val="24"/>
          <w:szCs w:val="24"/>
        </w:rPr>
      </w:pPr>
    </w:p>
    <w:p>
      <w:pPr>
        <w:snapToGrid w:val="0"/>
        <w:spacing w:line="240" w:lineRule="exact"/>
        <w:jc w:val="left"/>
        <w:rPr>
          <w:rFonts w:ascii="Times New Roman" w:hAnsi="Times New Roman"/>
          <w:sz w:val="24"/>
          <w:szCs w:val="24"/>
        </w:rPr>
      </w:pPr>
      <w:r>
        <w:rPr>
          <w:rFonts w:ascii="Times New Roman" w:hAnsi="Times New Roman"/>
          <w:sz w:val="24"/>
          <w:szCs w:val="24"/>
        </w:rPr>
        <w:t>注解：</w:t>
      </w:r>
    </w:p>
    <w:p>
      <w:pPr>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Times New Roman" w:hAnsi="Times New Roman"/>
          <w:sz w:val="28"/>
          <w:szCs w:val="28"/>
        </w:rPr>
      </w:pPr>
      <w:r>
        <w:rPr>
          <w:rFonts w:ascii="Times New Roman" w:hAnsi="Times New Roman"/>
          <w:sz w:val="24"/>
          <w:szCs w:val="24"/>
        </w:rPr>
        <w:t>2.申报方申请简易案件的理由是基于第4项、第5项时，无须在备注中说明相关市场和市场份额。</w:t>
      </w:r>
      <w:r>
        <w:rPr>
          <w:rFonts w:ascii="Times New Roman" w:hAnsi="Times New Roman"/>
          <w:sz w:val="24"/>
          <w:szCs w:val="24"/>
        </w:rPr>
        <w:br w:type="textWrapping"/>
      </w:r>
      <w:r>
        <w:rPr>
          <w:rFonts w:ascii="Times New Roman" w:hAnsi="Times New Roman"/>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ascii="Times New Roman" w:hAnsi="Times New Roman"/>
        </w:rPr>
      </w:pPr>
    </w:p>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Microsoft YaHei UI">
    <w:panose1 w:val="020B0503020204020204"/>
    <w:charset w:val="86"/>
    <w:family w:val="swiss"/>
    <w:pitch w:val="default"/>
    <w:sig w:usb0="80000287" w:usb1="28CF3C52" w:usb2="00000016" w:usb3="00000000" w:csb0="0004001F" w:csb1="00000000"/>
  </w:font>
  <w:font w:name="Wingdings">
    <w:panose1 w:val="05000000000000000000"/>
    <w:charset w:val="00"/>
    <w:family w:val="decorative"/>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403873"/>
    <w:multiLevelType w:val="multilevel"/>
    <w:tmpl w:val="6B403873"/>
    <w:lvl w:ilvl="0" w:tentative="0">
      <w:start w:val="3"/>
      <w:numFmt w:val="bullet"/>
      <w:lvlText w:val="-"/>
      <w:lvlJc w:val="left"/>
      <w:pPr>
        <w:ind w:left="1102" w:hanging="360"/>
      </w:pPr>
      <w:rPr>
        <w:rFonts w:hint="eastAsia" w:ascii="仿宋" w:hAnsi="仿宋" w:eastAsia="仿宋" w:cs="宋体"/>
      </w:rPr>
    </w:lvl>
    <w:lvl w:ilvl="1" w:tentative="0">
      <w:start w:val="1"/>
      <w:numFmt w:val="bullet"/>
      <w:lvlText w:val=""/>
      <w:lvlJc w:val="left"/>
      <w:pPr>
        <w:ind w:left="1582" w:hanging="420"/>
      </w:pPr>
      <w:rPr>
        <w:rFonts w:hint="default" w:ascii="Wingdings" w:hAnsi="Wingdings"/>
      </w:rPr>
    </w:lvl>
    <w:lvl w:ilvl="2" w:tentative="0">
      <w:start w:val="1"/>
      <w:numFmt w:val="bullet"/>
      <w:lvlText w:val=""/>
      <w:lvlJc w:val="left"/>
      <w:pPr>
        <w:ind w:left="2002" w:hanging="420"/>
      </w:pPr>
      <w:rPr>
        <w:rFonts w:hint="default" w:ascii="Wingdings" w:hAnsi="Wingdings"/>
      </w:rPr>
    </w:lvl>
    <w:lvl w:ilvl="3" w:tentative="0">
      <w:start w:val="1"/>
      <w:numFmt w:val="bullet"/>
      <w:lvlText w:val=""/>
      <w:lvlJc w:val="left"/>
      <w:pPr>
        <w:ind w:left="2422" w:hanging="420"/>
      </w:pPr>
      <w:rPr>
        <w:rFonts w:hint="default" w:ascii="Wingdings" w:hAnsi="Wingdings"/>
      </w:rPr>
    </w:lvl>
    <w:lvl w:ilvl="4" w:tentative="0">
      <w:start w:val="1"/>
      <w:numFmt w:val="bullet"/>
      <w:lvlText w:val=""/>
      <w:lvlJc w:val="left"/>
      <w:pPr>
        <w:ind w:left="2842" w:hanging="420"/>
      </w:pPr>
      <w:rPr>
        <w:rFonts w:hint="default" w:ascii="Wingdings" w:hAnsi="Wingdings"/>
      </w:rPr>
    </w:lvl>
    <w:lvl w:ilvl="5" w:tentative="0">
      <w:start w:val="1"/>
      <w:numFmt w:val="bullet"/>
      <w:lvlText w:val=""/>
      <w:lvlJc w:val="left"/>
      <w:pPr>
        <w:ind w:left="3262" w:hanging="420"/>
      </w:pPr>
      <w:rPr>
        <w:rFonts w:hint="default" w:ascii="Wingdings" w:hAnsi="Wingdings"/>
      </w:rPr>
    </w:lvl>
    <w:lvl w:ilvl="6" w:tentative="0">
      <w:start w:val="1"/>
      <w:numFmt w:val="bullet"/>
      <w:lvlText w:val=""/>
      <w:lvlJc w:val="left"/>
      <w:pPr>
        <w:ind w:left="3682" w:hanging="420"/>
      </w:pPr>
      <w:rPr>
        <w:rFonts w:hint="default" w:ascii="Wingdings" w:hAnsi="Wingdings"/>
      </w:rPr>
    </w:lvl>
    <w:lvl w:ilvl="7" w:tentative="0">
      <w:start w:val="1"/>
      <w:numFmt w:val="bullet"/>
      <w:lvlText w:val=""/>
      <w:lvlJc w:val="left"/>
      <w:pPr>
        <w:ind w:left="4102" w:hanging="420"/>
      </w:pPr>
      <w:rPr>
        <w:rFonts w:hint="default" w:ascii="Wingdings" w:hAnsi="Wingdings"/>
      </w:rPr>
    </w:lvl>
    <w:lvl w:ilvl="8" w:tentative="0">
      <w:start w:val="1"/>
      <w:numFmt w:val="bullet"/>
      <w:lvlText w:val=""/>
      <w:lvlJc w:val="left"/>
      <w:pPr>
        <w:ind w:left="4522"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3EAB"/>
    <w:rsid w:val="0002654C"/>
    <w:rsid w:val="00037065"/>
    <w:rsid w:val="00041633"/>
    <w:rsid w:val="00090EBE"/>
    <w:rsid w:val="000B39A2"/>
    <w:rsid w:val="000C5EEA"/>
    <w:rsid w:val="000D584F"/>
    <w:rsid w:val="000D7EBA"/>
    <w:rsid w:val="000F4CA6"/>
    <w:rsid w:val="001164CD"/>
    <w:rsid w:val="00136766"/>
    <w:rsid w:val="00143070"/>
    <w:rsid w:val="00155717"/>
    <w:rsid w:val="00161A2F"/>
    <w:rsid w:val="001837A3"/>
    <w:rsid w:val="001B700D"/>
    <w:rsid w:val="001D2298"/>
    <w:rsid w:val="001F0CFA"/>
    <w:rsid w:val="001F3C3A"/>
    <w:rsid w:val="00245A34"/>
    <w:rsid w:val="00263334"/>
    <w:rsid w:val="002658FE"/>
    <w:rsid w:val="00274125"/>
    <w:rsid w:val="00294A12"/>
    <w:rsid w:val="002965D2"/>
    <w:rsid w:val="002A0E10"/>
    <w:rsid w:val="002A2814"/>
    <w:rsid w:val="002B1A0F"/>
    <w:rsid w:val="002E40B6"/>
    <w:rsid w:val="002E533C"/>
    <w:rsid w:val="002F0A05"/>
    <w:rsid w:val="0032041B"/>
    <w:rsid w:val="0034708C"/>
    <w:rsid w:val="003526F9"/>
    <w:rsid w:val="00366876"/>
    <w:rsid w:val="0037256D"/>
    <w:rsid w:val="00376A45"/>
    <w:rsid w:val="003C0AEB"/>
    <w:rsid w:val="003C4AC5"/>
    <w:rsid w:val="003D1888"/>
    <w:rsid w:val="003D31CC"/>
    <w:rsid w:val="003D6E18"/>
    <w:rsid w:val="003E31E4"/>
    <w:rsid w:val="00431063"/>
    <w:rsid w:val="0047096E"/>
    <w:rsid w:val="004B7F36"/>
    <w:rsid w:val="004C709A"/>
    <w:rsid w:val="004D04DF"/>
    <w:rsid w:val="004D0EF0"/>
    <w:rsid w:val="004D370D"/>
    <w:rsid w:val="004F104A"/>
    <w:rsid w:val="004F7688"/>
    <w:rsid w:val="005306AA"/>
    <w:rsid w:val="0057231A"/>
    <w:rsid w:val="005E3801"/>
    <w:rsid w:val="005E48C6"/>
    <w:rsid w:val="005F69F9"/>
    <w:rsid w:val="00606C70"/>
    <w:rsid w:val="006112A0"/>
    <w:rsid w:val="00621DAC"/>
    <w:rsid w:val="00621DDE"/>
    <w:rsid w:val="006274F2"/>
    <w:rsid w:val="006467D8"/>
    <w:rsid w:val="006531FE"/>
    <w:rsid w:val="00685AA4"/>
    <w:rsid w:val="00693C03"/>
    <w:rsid w:val="006A531B"/>
    <w:rsid w:val="006D49CC"/>
    <w:rsid w:val="006F7693"/>
    <w:rsid w:val="00710140"/>
    <w:rsid w:val="007113CD"/>
    <w:rsid w:val="0071294A"/>
    <w:rsid w:val="007357F0"/>
    <w:rsid w:val="00743835"/>
    <w:rsid w:val="00796C47"/>
    <w:rsid w:val="007A5AB0"/>
    <w:rsid w:val="007F2275"/>
    <w:rsid w:val="007F5843"/>
    <w:rsid w:val="0080650A"/>
    <w:rsid w:val="00825DDD"/>
    <w:rsid w:val="00847A08"/>
    <w:rsid w:val="00855232"/>
    <w:rsid w:val="008846C4"/>
    <w:rsid w:val="008A7ADD"/>
    <w:rsid w:val="008B6FD6"/>
    <w:rsid w:val="008D065D"/>
    <w:rsid w:val="008E0878"/>
    <w:rsid w:val="008E7F3F"/>
    <w:rsid w:val="0090777E"/>
    <w:rsid w:val="00915F0F"/>
    <w:rsid w:val="00921714"/>
    <w:rsid w:val="00923C0A"/>
    <w:rsid w:val="009268E4"/>
    <w:rsid w:val="00933B04"/>
    <w:rsid w:val="009532DF"/>
    <w:rsid w:val="00991E43"/>
    <w:rsid w:val="00997019"/>
    <w:rsid w:val="009A5029"/>
    <w:rsid w:val="009D38D5"/>
    <w:rsid w:val="009D672B"/>
    <w:rsid w:val="009E0984"/>
    <w:rsid w:val="009F0706"/>
    <w:rsid w:val="00A06AED"/>
    <w:rsid w:val="00A10DCE"/>
    <w:rsid w:val="00A2586D"/>
    <w:rsid w:val="00A45865"/>
    <w:rsid w:val="00A46D6B"/>
    <w:rsid w:val="00A53F26"/>
    <w:rsid w:val="00A6791C"/>
    <w:rsid w:val="00A75C34"/>
    <w:rsid w:val="00AA0CC5"/>
    <w:rsid w:val="00AA4820"/>
    <w:rsid w:val="00AA623C"/>
    <w:rsid w:val="00AC7820"/>
    <w:rsid w:val="00B03FD9"/>
    <w:rsid w:val="00B16AFE"/>
    <w:rsid w:val="00B4211D"/>
    <w:rsid w:val="00B6393B"/>
    <w:rsid w:val="00B65DD5"/>
    <w:rsid w:val="00B804C1"/>
    <w:rsid w:val="00BD10B6"/>
    <w:rsid w:val="00BD6E36"/>
    <w:rsid w:val="00BE47F8"/>
    <w:rsid w:val="00C01EA1"/>
    <w:rsid w:val="00C066E0"/>
    <w:rsid w:val="00C07076"/>
    <w:rsid w:val="00C10B6C"/>
    <w:rsid w:val="00C151E2"/>
    <w:rsid w:val="00C153D1"/>
    <w:rsid w:val="00C23031"/>
    <w:rsid w:val="00C232E4"/>
    <w:rsid w:val="00C550BE"/>
    <w:rsid w:val="00C6418F"/>
    <w:rsid w:val="00C80BBD"/>
    <w:rsid w:val="00CA4A3B"/>
    <w:rsid w:val="00CB00DF"/>
    <w:rsid w:val="00CB06DF"/>
    <w:rsid w:val="00CB2C34"/>
    <w:rsid w:val="00CB3B4A"/>
    <w:rsid w:val="00CD141C"/>
    <w:rsid w:val="00CD289E"/>
    <w:rsid w:val="00CF470C"/>
    <w:rsid w:val="00CF7E29"/>
    <w:rsid w:val="00D109BD"/>
    <w:rsid w:val="00D245D6"/>
    <w:rsid w:val="00D323AB"/>
    <w:rsid w:val="00D33CA0"/>
    <w:rsid w:val="00D57F6C"/>
    <w:rsid w:val="00D73C72"/>
    <w:rsid w:val="00D81E2C"/>
    <w:rsid w:val="00D94806"/>
    <w:rsid w:val="00DA173D"/>
    <w:rsid w:val="00DC6D9D"/>
    <w:rsid w:val="00DE0F4D"/>
    <w:rsid w:val="00DF2614"/>
    <w:rsid w:val="00E0592B"/>
    <w:rsid w:val="00E31738"/>
    <w:rsid w:val="00E317F6"/>
    <w:rsid w:val="00E47781"/>
    <w:rsid w:val="00E52C9D"/>
    <w:rsid w:val="00E6476D"/>
    <w:rsid w:val="00E86786"/>
    <w:rsid w:val="00EA31AD"/>
    <w:rsid w:val="00EA462A"/>
    <w:rsid w:val="00EC209E"/>
    <w:rsid w:val="00EC30F1"/>
    <w:rsid w:val="00EC4AC0"/>
    <w:rsid w:val="00ED2F80"/>
    <w:rsid w:val="00EE57DC"/>
    <w:rsid w:val="00EF6DC7"/>
    <w:rsid w:val="00F1624E"/>
    <w:rsid w:val="00F26AD2"/>
    <w:rsid w:val="00F32F8A"/>
    <w:rsid w:val="00F4117D"/>
    <w:rsid w:val="00F520B0"/>
    <w:rsid w:val="00F571E8"/>
    <w:rsid w:val="00F77837"/>
    <w:rsid w:val="00F77F8A"/>
    <w:rsid w:val="00F810AA"/>
    <w:rsid w:val="00F81474"/>
    <w:rsid w:val="00F869D6"/>
    <w:rsid w:val="00FA22FC"/>
    <w:rsid w:val="00FB1A4C"/>
    <w:rsid w:val="00FB43EC"/>
    <w:rsid w:val="00FB6B40"/>
    <w:rsid w:val="00FC1796"/>
    <w:rsid w:val="00FC5A86"/>
    <w:rsid w:val="7D2C4B0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5"/>
    <w:semiHidden/>
    <w:unhideWhenUsed/>
    <w:uiPriority w:val="99"/>
    <w:rPr>
      <w:b/>
      <w:bCs/>
    </w:rPr>
  </w:style>
  <w:style w:type="paragraph" w:styleId="3">
    <w:name w:val="annotation text"/>
    <w:basedOn w:val="1"/>
    <w:link w:val="14"/>
    <w:semiHidden/>
    <w:unhideWhenUsed/>
    <w:uiPriority w:val="99"/>
    <w:pPr>
      <w:jc w:val="left"/>
    </w:pPr>
  </w:style>
  <w:style w:type="paragraph" w:styleId="4">
    <w:name w:val="Balloon Text"/>
    <w:basedOn w:val="1"/>
    <w:link w:val="13"/>
    <w:semiHidden/>
    <w:unhideWhenUsed/>
    <w:uiPriority w:val="99"/>
    <w:rPr>
      <w:rFonts w:ascii="Microsoft YaHei UI" w:eastAsia="Microsoft YaHei UI"/>
      <w:sz w:val="18"/>
      <w:szCs w:val="18"/>
    </w:r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semiHidden/>
    <w:unhideWhenUsed/>
    <w:uiPriority w:val="99"/>
    <w:rPr>
      <w:sz w:val="21"/>
      <w:szCs w:val="21"/>
    </w:rPr>
  </w:style>
  <w:style w:type="character" w:customStyle="1" w:styleId="10">
    <w:name w:val="页眉 字符"/>
    <w:basedOn w:val="7"/>
    <w:link w:val="6"/>
    <w:uiPriority w:val="99"/>
    <w:rPr>
      <w:rFonts w:ascii="Calibri" w:hAnsi="Calibri" w:eastAsia="宋体" w:cs="Times New Roman"/>
      <w:sz w:val="18"/>
      <w:szCs w:val="18"/>
    </w:rPr>
  </w:style>
  <w:style w:type="character" w:customStyle="1" w:styleId="11">
    <w:name w:val="页脚 字符"/>
    <w:basedOn w:val="7"/>
    <w:link w:val="5"/>
    <w:uiPriority w:val="99"/>
    <w:rPr>
      <w:rFonts w:ascii="Calibri" w:hAnsi="Calibri" w:eastAsia="宋体" w:cs="Times New Roman"/>
      <w:sz w:val="18"/>
      <w:szCs w:val="18"/>
    </w:rPr>
  </w:style>
  <w:style w:type="paragraph" w:customStyle="1" w:styleId="12">
    <w:name w:val="Body"/>
    <w:basedOn w:val="1"/>
    <w:uiPriority w:val="0"/>
    <w:pPr>
      <w:widowControl/>
      <w:spacing w:after="140" w:line="290" w:lineRule="auto"/>
    </w:pPr>
    <w:rPr>
      <w:rFonts w:ascii="Arial" w:hAnsi="Arial"/>
      <w:kern w:val="20"/>
      <w:sz w:val="20"/>
      <w:szCs w:val="24"/>
      <w:lang w:val="en-GB" w:eastAsia="en-GB"/>
    </w:rPr>
  </w:style>
  <w:style w:type="character" w:customStyle="1" w:styleId="13">
    <w:name w:val="批注框文本 字符"/>
    <w:basedOn w:val="7"/>
    <w:link w:val="4"/>
    <w:semiHidden/>
    <w:uiPriority w:val="99"/>
    <w:rPr>
      <w:rFonts w:ascii="Microsoft YaHei UI" w:hAnsi="Calibri" w:eastAsia="Microsoft YaHei UI" w:cs="Times New Roman"/>
      <w:sz w:val="18"/>
      <w:szCs w:val="18"/>
    </w:rPr>
  </w:style>
  <w:style w:type="character" w:customStyle="1" w:styleId="14">
    <w:name w:val="批注文字 字符"/>
    <w:basedOn w:val="7"/>
    <w:link w:val="3"/>
    <w:semiHidden/>
    <w:uiPriority w:val="99"/>
    <w:rPr>
      <w:rFonts w:ascii="Calibri" w:hAnsi="Calibri" w:eastAsia="宋体" w:cs="Times New Roman"/>
    </w:rPr>
  </w:style>
  <w:style w:type="character" w:customStyle="1" w:styleId="15">
    <w:name w:val="批注主题 字符"/>
    <w:basedOn w:val="14"/>
    <w:link w:val="2"/>
    <w:semiHidden/>
    <w:uiPriority w:val="99"/>
    <w:rPr>
      <w:rFonts w:ascii="Calibri" w:hAnsi="Calibri" w:eastAsia="宋体" w:cs="Times New Roman"/>
      <w:b/>
      <w:bCs/>
    </w:rPr>
  </w:style>
  <w:style w:type="paragraph" w:styleId="16">
    <w:name w:val="List Paragraph"/>
    <w:basedOn w:val="1"/>
    <w:link w:val="17"/>
    <w:qFormat/>
    <w:uiPriority w:val="34"/>
    <w:pPr>
      <w:widowControl/>
      <w:ind w:firstLine="420" w:firstLineChars="200"/>
      <w:jc w:val="left"/>
    </w:pPr>
    <w:rPr>
      <w:rFonts w:ascii="宋体" w:hAnsi="宋体" w:cs="宋体"/>
      <w:kern w:val="0"/>
      <w:sz w:val="24"/>
      <w:szCs w:val="24"/>
    </w:rPr>
  </w:style>
  <w:style w:type="character" w:customStyle="1" w:styleId="17">
    <w:name w:val="列表段落 字符"/>
    <w:link w:val="16"/>
    <w:locked/>
    <w:uiPriority w:val="34"/>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ADB8CA724859E44E9A4C099E36DA7463" ma:contentTypeVersion="0" ma:contentTypeDescription="新建文档。" ma:contentTypeScope="" ma:versionID="2bda5aeb1e2aed986f9d77282b2c43a3">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4485A-52DE-497B-8A49-06117B060C10}">
  <ds:schemaRefs/>
</ds:datastoreItem>
</file>

<file path=customXml/itemProps3.xml><?xml version="1.0" encoding="utf-8"?>
<ds:datastoreItem xmlns:ds="http://schemas.openxmlformats.org/officeDocument/2006/customXml" ds:itemID="{4EFCCE4B-06A5-457E-AFF9-AA0A47901689}">
  <ds:schemaRefs/>
</ds:datastoreItem>
</file>

<file path=customXml/itemProps4.xml><?xml version="1.0" encoding="utf-8"?>
<ds:datastoreItem xmlns:ds="http://schemas.openxmlformats.org/officeDocument/2006/customXml" ds:itemID="{E0912BC1-6AC3-41E5-ABE0-3D1AE5344DD1}">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164</Words>
  <Characters>935</Characters>
  <Lines>7</Lines>
  <Paragraphs>2</Paragraphs>
  <TotalTime>0</TotalTime>
  <ScaleCrop>false</ScaleCrop>
  <LinksUpToDate>false</LinksUpToDate>
  <CharactersWithSpaces>1097</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2021-11-24T08:24:00Z</dcterms:created>
  <dc:creator>ZL</dc:creator>
  <cp:lastModifiedBy>武兴伟</cp:lastModifiedBy>
  <dcterms:modified xsi:type="dcterms:W3CDTF">2021-12-17T03:06:29Z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0x010100ADB8CA724859E44E9A4C099E36DA7463</vt:lpwstr>
  </property>
  <property fmtid="{D5CDD505-2E9C-101B-9397-08002B2CF9AE}" pid="3" name="KSOProductBuildVer">
    <vt:lpwstr>2052-10.8.2.7129</vt:lpwstr>
  </property>
</Properties>
</file>