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w:hAnsi="Times"/>
          <w:b/>
          <w:bCs/>
          <w:sz w:val="24"/>
          <w:szCs w:val="24"/>
        </w:rPr>
      </w:pPr>
      <w:r>
        <w:rPr>
          <w:rFonts w:ascii="Times" w:hAnsi="Times"/>
          <w:b/>
          <w:bCs/>
          <w:sz w:val="24"/>
          <w:szCs w:val="24"/>
        </w:rPr>
        <w:t>经营者集中简易案件公示表</w:t>
      </w:r>
    </w:p>
    <w:p>
      <w:pPr>
        <w:spacing w:line="440" w:lineRule="exact"/>
        <w:jc w:val="center"/>
        <w:rPr>
          <w:rFonts w:ascii="Times" w:hAnsi="Times"/>
          <w:sz w:val="28"/>
          <w:szCs w:val="28"/>
        </w:rPr>
      </w:pPr>
    </w:p>
    <w:tbl>
      <w:tblPr>
        <w:tblStyle w:val="9"/>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4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before="156" w:beforeLines="50" w:after="156" w:afterLines="50" w:line="500" w:lineRule="exact"/>
              <w:rPr>
                <w:rFonts w:ascii="Times" w:hAnsi="Times"/>
                <w:b/>
                <w:bCs/>
                <w:szCs w:val="21"/>
              </w:rPr>
            </w:pPr>
            <w:r>
              <w:rPr>
                <w:rFonts w:ascii="Times" w:hAnsi="Times"/>
                <w:b/>
                <w:bCs/>
                <w:szCs w:val="21"/>
              </w:rPr>
              <w:t>案件名称</w:t>
            </w:r>
          </w:p>
        </w:tc>
        <w:tc>
          <w:tcPr>
            <w:tcW w:w="6550" w:type="dxa"/>
            <w:gridSpan w:val="2"/>
            <w:shd w:val="clear" w:color="auto" w:fill="auto"/>
            <w:vAlign w:val="center"/>
          </w:tcPr>
          <w:p>
            <w:pPr>
              <w:spacing w:before="156" w:beforeLines="50" w:after="156" w:afterLines="50"/>
              <w:rPr>
                <w:rFonts w:ascii="Times" w:hAnsi="Times"/>
                <w:szCs w:val="21"/>
              </w:rPr>
            </w:pPr>
            <w:r>
              <w:rPr>
                <w:rFonts w:hint="eastAsia" w:ascii="Times" w:hAnsi="Times"/>
                <w:kern w:val="0"/>
                <w:szCs w:val="21"/>
              </w:rPr>
              <w:t>GFS</w:t>
            </w:r>
            <w:r>
              <w:rPr>
                <w:rFonts w:ascii="Times" w:hAnsi="Times"/>
                <w:kern w:val="0"/>
                <w:szCs w:val="21"/>
              </w:rPr>
              <w:t>株式会社收购S&amp;I</w:t>
            </w:r>
            <w:r>
              <w:rPr>
                <w:rFonts w:hint="eastAsia" w:ascii="Times" w:hAnsi="Times"/>
                <w:kern w:val="0"/>
                <w:szCs w:val="21"/>
              </w:rPr>
              <w:t>建设株式会社</w:t>
            </w:r>
            <w:r>
              <w:rPr>
                <w:rFonts w:ascii="Times" w:hAnsi="Times"/>
                <w:kern w:val="0"/>
                <w:szCs w:val="21"/>
              </w:rPr>
              <w:t>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before="156" w:beforeLines="50" w:after="156" w:afterLines="50" w:line="500" w:lineRule="exact"/>
              <w:rPr>
                <w:rFonts w:ascii="Times" w:hAnsi="Times"/>
                <w:b/>
                <w:bCs/>
                <w:szCs w:val="21"/>
              </w:rPr>
            </w:pPr>
            <w:r>
              <w:rPr>
                <w:rFonts w:ascii="Times" w:hAnsi="Times"/>
                <w:b/>
                <w:bCs/>
                <w:szCs w:val="21"/>
              </w:rPr>
              <w:t>交易概况（限200字内）</w:t>
            </w:r>
          </w:p>
        </w:tc>
        <w:tc>
          <w:tcPr>
            <w:tcW w:w="6550" w:type="dxa"/>
            <w:gridSpan w:val="2"/>
            <w:vAlign w:val="center"/>
          </w:tcPr>
          <w:p>
            <w:pPr>
              <w:spacing w:before="156" w:beforeLines="50" w:after="156" w:afterLines="50"/>
              <w:rPr>
                <w:rFonts w:ascii="Times" w:hAnsi="Times"/>
                <w:color w:val="000000"/>
                <w:szCs w:val="21"/>
              </w:rPr>
            </w:pPr>
            <w:r>
              <w:rPr>
                <w:rFonts w:hint="eastAsia" w:ascii="Times" w:hAnsi="Times"/>
                <w:color w:val="000000"/>
                <w:szCs w:val="21"/>
              </w:rPr>
              <w:t>2</w:t>
            </w:r>
            <w:r>
              <w:rPr>
                <w:rFonts w:ascii="Times" w:hAnsi="Times"/>
                <w:color w:val="000000"/>
                <w:szCs w:val="21"/>
              </w:rPr>
              <w:t>021</w:t>
            </w:r>
            <w:r>
              <w:rPr>
                <w:rFonts w:hint="eastAsia" w:ascii="Times" w:hAnsi="Times"/>
                <w:color w:val="000000"/>
                <w:szCs w:val="21"/>
              </w:rPr>
              <w:t>年1</w:t>
            </w:r>
            <w:r>
              <w:rPr>
                <w:rFonts w:ascii="Times" w:hAnsi="Times"/>
                <w:color w:val="000000"/>
                <w:szCs w:val="21"/>
              </w:rPr>
              <w:t>2</w:t>
            </w:r>
            <w:r>
              <w:rPr>
                <w:rFonts w:hint="eastAsia" w:ascii="Times" w:hAnsi="Times"/>
                <w:color w:val="000000"/>
                <w:szCs w:val="21"/>
              </w:rPr>
              <w:t>月1</w:t>
            </w:r>
            <w:r>
              <w:rPr>
                <w:rFonts w:ascii="Times" w:hAnsi="Times"/>
                <w:color w:val="000000"/>
                <w:szCs w:val="21"/>
              </w:rPr>
              <w:t>0</w:t>
            </w:r>
            <w:r>
              <w:rPr>
                <w:rFonts w:hint="eastAsia" w:ascii="Times" w:hAnsi="Times"/>
                <w:color w:val="000000"/>
                <w:szCs w:val="21"/>
              </w:rPr>
              <w:t>日，</w:t>
            </w:r>
            <w:r>
              <w:rPr>
                <w:rFonts w:ascii="Times" w:hAnsi="Times"/>
                <w:color w:val="000000"/>
                <w:szCs w:val="21"/>
              </w:rPr>
              <w:t>GFS</w:t>
            </w:r>
            <w:r>
              <w:rPr>
                <w:rFonts w:hint="eastAsia" w:ascii="Times" w:hAnsi="Times"/>
                <w:color w:val="000000"/>
                <w:szCs w:val="21"/>
              </w:rPr>
              <w:t>株式会社（“</w:t>
            </w:r>
            <w:r>
              <w:rPr>
                <w:rFonts w:hint="eastAsia" w:ascii="Times" w:hAnsi="Times"/>
                <w:b/>
                <w:bCs/>
                <w:color w:val="000000"/>
                <w:szCs w:val="21"/>
              </w:rPr>
              <w:t>G</w:t>
            </w:r>
            <w:r>
              <w:rPr>
                <w:rFonts w:ascii="Times" w:hAnsi="Times"/>
                <w:b/>
                <w:bCs/>
                <w:color w:val="000000"/>
                <w:szCs w:val="21"/>
              </w:rPr>
              <w:t>FS</w:t>
            </w:r>
            <w:r>
              <w:rPr>
                <w:rFonts w:hint="eastAsia" w:ascii="Times" w:hAnsi="Times"/>
                <w:color w:val="000000"/>
                <w:szCs w:val="21"/>
              </w:rPr>
              <w:t>”）与S&amp;</w:t>
            </w:r>
            <w:r>
              <w:rPr>
                <w:rFonts w:ascii="Times" w:hAnsi="Times"/>
                <w:color w:val="000000"/>
                <w:szCs w:val="21"/>
              </w:rPr>
              <w:t>I C</w:t>
            </w:r>
            <w:r>
              <w:rPr>
                <w:rFonts w:hint="eastAsia" w:ascii="Times" w:hAnsi="Times"/>
                <w:color w:val="000000"/>
                <w:szCs w:val="21"/>
              </w:rPr>
              <w:t>orporation株式会社（“</w:t>
            </w:r>
            <w:r>
              <w:rPr>
                <w:rFonts w:hint="eastAsia" w:ascii="Times" w:hAnsi="Times"/>
                <w:b/>
                <w:bCs/>
                <w:color w:val="000000"/>
                <w:szCs w:val="21"/>
              </w:rPr>
              <w:t>S&amp;</w:t>
            </w:r>
            <w:r>
              <w:rPr>
                <w:rFonts w:ascii="Times" w:hAnsi="Times"/>
                <w:b/>
                <w:bCs/>
                <w:color w:val="000000"/>
                <w:szCs w:val="21"/>
              </w:rPr>
              <w:t>I C</w:t>
            </w:r>
            <w:r>
              <w:rPr>
                <w:rFonts w:hint="eastAsia" w:ascii="Times" w:hAnsi="Times"/>
                <w:b/>
                <w:bCs/>
                <w:color w:val="000000"/>
                <w:szCs w:val="21"/>
              </w:rPr>
              <w:t>orporation</w:t>
            </w:r>
            <w:r>
              <w:rPr>
                <w:rFonts w:hint="eastAsia" w:ascii="Times" w:hAnsi="Times"/>
                <w:color w:val="000000"/>
                <w:szCs w:val="21"/>
              </w:rPr>
              <w:t>”）签订股东协议，约定G</w:t>
            </w:r>
            <w:r>
              <w:rPr>
                <w:rFonts w:ascii="Times" w:hAnsi="Times"/>
                <w:color w:val="000000"/>
                <w:szCs w:val="21"/>
              </w:rPr>
              <w:t>FS</w:t>
            </w:r>
            <w:r>
              <w:rPr>
                <w:rFonts w:hint="eastAsia" w:ascii="Times" w:hAnsi="Times"/>
                <w:color w:val="000000"/>
                <w:szCs w:val="21"/>
              </w:rPr>
              <w:t>收购由S&amp;</w:t>
            </w:r>
            <w:r>
              <w:rPr>
                <w:rFonts w:ascii="Times" w:hAnsi="Times"/>
                <w:color w:val="000000"/>
                <w:szCs w:val="21"/>
              </w:rPr>
              <w:t>I C</w:t>
            </w:r>
            <w:r>
              <w:rPr>
                <w:rFonts w:hint="eastAsia" w:ascii="Times" w:hAnsi="Times"/>
                <w:color w:val="000000"/>
                <w:szCs w:val="21"/>
              </w:rPr>
              <w:t>orporation持有的</w:t>
            </w:r>
            <w:r>
              <w:rPr>
                <w:rFonts w:ascii="Times" w:hAnsi="Times"/>
                <w:kern w:val="0"/>
                <w:szCs w:val="21"/>
              </w:rPr>
              <w:t>S&amp;I</w:t>
            </w:r>
            <w:r>
              <w:rPr>
                <w:rFonts w:hint="eastAsia" w:ascii="Times" w:hAnsi="Times"/>
                <w:kern w:val="0"/>
                <w:szCs w:val="21"/>
              </w:rPr>
              <w:t>建设株式会社（“</w:t>
            </w:r>
            <w:r>
              <w:rPr>
                <w:rFonts w:hint="eastAsia" w:ascii="Times" w:hAnsi="Times"/>
                <w:b/>
                <w:bCs/>
                <w:kern w:val="0"/>
                <w:szCs w:val="21"/>
              </w:rPr>
              <w:t>S</w:t>
            </w:r>
            <w:r>
              <w:rPr>
                <w:rFonts w:ascii="Times" w:hAnsi="Times"/>
                <w:b/>
                <w:bCs/>
                <w:kern w:val="0"/>
                <w:szCs w:val="21"/>
              </w:rPr>
              <w:t>&amp;I</w:t>
            </w:r>
            <w:r>
              <w:rPr>
                <w:rFonts w:hint="eastAsia" w:ascii="Times" w:hAnsi="Times"/>
                <w:b/>
                <w:bCs/>
                <w:kern w:val="0"/>
                <w:szCs w:val="21"/>
              </w:rPr>
              <w:t>建设</w:t>
            </w:r>
            <w:r>
              <w:rPr>
                <w:rFonts w:hint="eastAsia" w:ascii="Times" w:hAnsi="Times"/>
                <w:kern w:val="0"/>
                <w:szCs w:val="21"/>
              </w:rPr>
              <w:t>”或“</w:t>
            </w:r>
            <w:r>
              <w:rPr>
                <w:rFonts w:hint="eastAsia" w:ascii="Times" w:hAnsi="Times"/>
                <w:b/>
                <w:bCs/>
                <w:kern w:val="0"/>
                <w:szCs w:val="21"/>
              </w:rPr>
              <w:t>目标公司</w:t>
            </w:r>
            <w:r>
              <w:rPr>
                <w:rFonts w:hint="eastAsia" w:ascii="Times" w:hAnsi="Times"/>
                <w:kern w:val="0"/>
                <w:szCs w:val="21"/>
              </w:rPr>
              <w:t>”）</w:t>
            </w:r>
            <w:r>
              <w:rPr>
                <w:rFonts w:hint="eastAsia" w:ascii="Times" w:hAnsi="Times"/>
                <w:color w:val="000000"/>
                <w:szCs w:val="21"/>
              </w:rPr>
              <w:t>6</w:t>
            </w:r>
            <w:r>
              <w:rPr>
                <w:rFonts w:ascii="Times" w:hAnsi="Times"/>
                <w:color w:val="000000"/>
                <w:szCs w:val="21"/>
              </w:rPr>
              <w:t>0</w:t>
            </w:r>
            <w:r>
              <w:rPr>
                <w:rFonts w:hint="eastAsia" w:ascii="Times" w:hAnsi="Times"/>
                <w:color w:val="000000"/>
                <w:szCs w:val="21"/>
              </w:rPr>
              <w:t>%的股份（“</w:t>
            </w:r>
            <w:r>
              <w:rPr>
                <w:rFonts w:hint="eastAsia" w:ascii="Times" w:hAnsi="Times"/>
                <w:b/>
                <w:bCs/>
                <w:color w:val="000000"/>
                <w:szCs w:val="21"/>
              </w:rPr>
              <w:t>拟议交易</w:t>
            </w:r>
            <w:r>
              <w:rPr>
                <w:rFonts w:hint="eastAsia" w:ascii="Times" w:hAnsi="Times"/>
                <w:color w:val="000000"/>
                <w:szCs w:val="21"/>
              </w:rPr>
              <w:t>”）。</w:t>
            </w:r>
          </w:p>
          <w:p>
            <w:pPr>
              <w:spacing w:before="156" w:beforeLines="50" w:after="156" w:afterLines="50"/>
              <w:rPr>
                <w:rFonts w:ascii="Times" w:hAnsi="Times"/>
                <w:color w:val="000000"/>
                <w:szCs w:val="21"/>
              </w:rPr>
            </w:pPr>
            <w:r>
              <w:rPr>
                <w:rFonts w:hint="eastAsia" w:ascii="Times" w:hAnsi="Times"/>
                <w:color w:val="000000"/>
                <w:szCs w:val="21"/>
              </w:rPr>
              <w:t>拟议交易前，S&amp;I建设由</w:t>
            </w:r>
            <w:r>
              <w:rPr>
                <w:rFonts w:ascii="Times" w:hAnsi="Times"/>
                <w:color w:val="000000"/>
                <w:szCs w:val="21"/>
              </w:rPr>
              <w:t>S&amp;I Corporation</w:t>
            </w:r>
            <w:r>
              <w:rPr>
                <w:rFonts w:hint="eastAsia" w:ascii="Times" w:hAnsi="Times"/>
                <w:color w:val="000000"/>
                <w:szCs w:val="21"/>
              </w:rPr>
              <w:t>全资持有并单独控制。拟议交易后，在反垄断法意义下，S&amp;I建设将由</w:t>
            </w:r>
            <w:r>
              <w:rPr>
                <w:rFonts w:ascii="Times" w:hAnsi="Times"/>
                <w:color w:val="000000"/>
                <w:szCs w:val="21"/>
              </w:rPr>
              <w:t>GFS</w:t>
            </w:r>
            <w:r>
              <w:rPr>
                <w:rFonts w:hint="eastAsia" w:ascii="Times" w:hAnsi="Times"/>
                <w:color w:val="000000"/>
                <w:szCs w:val="21"/>
              </w:rPr>
              <w:t>及</w:t>
            </w:r>
            <w:r>
              <w:rPr>
                <w:rFonts w:ascii="Times" w:hAnsi="Times"/>
                <w:color w:val="000000"/>
                <w:szCs w:val="21"/>
              </w:rPr>
              <w:t>S&amp;I Corporation</w:t>
            </w:r>
            <w:r>
              <w:rPr>
                <w:rFonts w:hint="eastAsia" w:ascii="Times" w:hAnsi="Times"/>
                <w:color w:val="000000"/>
                <w:szCs w:val="21"/>
              </w:rPr>
              <w:t>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before="156" w:beforeLines="50" w:after="156" w:afterLines="50" w:line="500" w:lineRule="exact"/>
              <w:rPr>
                <w:rFonts w:ascii="Times" w:hAnsi="Times"/>
                <w:b/>
                <w:bCs/>
                <w:szCs w:val="21"/>
              </w:rPr>
            </w:pPr>
            <w:r>
              <w:rPr>
                <w:rFonts w:ascii="Times" w:hAnsi="Times"/>
                <w:b/>
                <w:bCs/>
                <w:szCs w:val="21"/>
              </w:rPr>
              <w:t>参与集中的经营者简介</w:t>
            </w:r>
          </w:p>
        </w:tc>
        <w:tc>
          <w:tcPr>
            <w:tcW w:w="1796" w:type="dxa"/>
            <w:vAlign w:val="center"/>
          </w:tcPr>
          <w:p>
            <w:pPr>
              <w:pStyle w:val="20"/>
              <w:numPr>
                <w:ilvl w:val="0"/>
                <w:numId w:val="1"/>
              </w:numPr>
              <w:spacing w:before="156" w:beforeLines="50" w:after="156" w:afterLines="50"/>
              <w:ind w:firstLineChars="0"/>
              <w:rPr>
                <w:rFonts w:ascii="Times" w:hAnsi="Times"/>
                <w:szCs w:val="21"/>
              </w:rPr>
            </w:pPr>
            <w:r>
              <w:rPr>
                <w:rFonts w:hint="eastAsia" w:ascii="Times" w:hAnsi="Times"/>
                <w:szCs w:val="21"/>
              </w:rPr>
              <w:t>G</w:t>
            </w:r>
            <w:r>
              <w:rPr>
                <w:rFonts w:ascii="Times" w:hAnsi="Times"/>
                <w:szCs w:val="21"/>
              </w:rPr>
              <w:t>FS</w:t>
            </w:r>
          </w:p>
        </w:tc>
        <w:tc>
          <w:tcPr>
            <w:tcW w:w="4754" w:type="dxa"/>
            <w:vAlign w:val="center"/>
          </w:tcPr>
          <w:p>
            <w:pPr>
              <w:spacing w:before="156" w:beforeLines="50" w:after="156" w:afterLines="50"/>
              <w:rPr>
                <w:rFonts w:ascii="Times" w:hAnsi="Times"/>
                <w:szCs w:val="21"/>
              </w:rPr>
            </w:pPr>
            <w:r>
              <w:rPr>
                <w:rFonts w:hint="eastAsia" w:ascii="Times" w:hAnsi="Times"/>
                <w:szCs w:val="21"/>
              </w:rPr>
              <w:t>G</w:t>
            </w:r>
            <w:r>
              <w:rPr>
                <w:rFonts w:ascii="Times" w:hAnsi="Times"/>
                <w:szCs w:val="21"/>
              </w:rPr>
              <w:t>FS</w:t>
            </w:r>
            <w:r>
              <w:rPr>
                <w:rFonts w:hint="eastAsia" w:ascii="Times" w:hAnsi="Times"/>
                <w:szCs w:val="21"/>
              </w:rPr>
              <w:t>于2</w:t>
            </w:r>
            <w:r>
              <w:rPr>
                <w:rFonts w:ascii="Times" w:hAnsi="Times"/>
                <w:szCs w:val="21"/>
              </w:rPr>
              <w:t>021</w:t>
            </w:r>
            <w:r>
              <w:rPr>
                <w:rFonts w:hint="eastAsia" w:ascii="Times" w:hAnsi="Times"/>
                <w:szCs w:val="21"/>
              </w:rPr>
              <w:t>年成立于韩国，主要在韩国境内开展经营、咨询业务。G</w:t>
            </w:r>
            <w:r>
              <w:rPr>
                <w:rFonts w:ascii="Times" w:hAnsi="Times"/>
                <w:szCs w:val="21"/>
              </w:rPr>
              <w:t>FS</w:t>
            </w:r>
            <w:r>
              <w:rPr>
                <w:rFonts w:hint="eastAsia" w:ascii="Times" w:hAnsi="Times"/>
                <w:szCs w:val="21"/>
              </w:rPr>
              <w:t>的最终控制人株式会社GS工程建设主要在全球范围内从事建设工</w:t>
            </w:r>
            <w:bookmarkStart w:id="0" w:name="_GoBack"/>
            <w:bookmarkEnd w:id="0"/>
            <w:r>
              <w:rPr>
                <w:rFonts w:hint="eastAsia" w:ascii="Times" w:hAnsi="Times"/>
                <w:szCs w:val="21"/>
              </w:rPr>
              <w:t>程业务。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before="156" w:beforeLines="50" w:after="156" w:afterLines="50" w:line="500" w:lineRule="exact"/>
              <w:rPr>
                <w:rFonts w:ascii="Times" w:hAnsi="Times"/>
                <w:szCs w:val="21"/>
              </w:rPr>
            </w:pPr>
          </w:p>
        </w:tc>
        <w:tc>
          <w:tcPr>
            <w:tcW w:w="1796" w:type="dxa"/>
            <w:vAlign w:val="center"/>
          </w:tcPr>
          <w:p>
            <w:pPr>
              <w:pStyle w:val="20"/>
              <w:numPr>
                <w:ilvl w:val="0"/>
                <w:numId w:val="1"/>
              </w:numPr>
              <w:spacing w:before="156" w:beforeLines="50" w:after="156" w:afterLines="50"/>
              <w:ind w:firstLineChars="0"/>
              <w:rPr>
                <w:rFonts w:ascii="Times" w:hAnsi="Times"/>
                <w:szCs w:val="21"/>
              </w:rPr>
            </w:pPr>
            <w:r>
              <w:rPr>
                <w:rFonts w:ascii="Times" w:hAnsi="Times"/>
                <w:szCs w:val="21"/>
              </w:rPr>
              <w:t>S&amp;I Corporation</w:t>
            </w:r>
          </w:p>
        </w:tc>
        <w:tc>
          <w:tcPr>
            <w:tcW w:w="4754" w:type="dxa"/>
            <w:vAlign w:val="center"/>
          </w:tcPr>
          <w:p>
            <w:pPr>
              <w:spacing w:before="156" w:beforeLines="50" w:after="156" w:afterLines="50"/>
              <w:rPr>
                <w:rFonts w:ascii="Times" w:hAnsi="Times"/>
                <w:color w:val="000000"/>
                <w:szCs w:val="21"/>
              </w:rPr>
            </w:pPr>
            <w:r>
              <w:rPr>
                <w:rFonts w:ascii="Times" w:hAnsi="Times"/>
                <w:color w:val="000000"/>
                <w:szCs w:val="21"/>
              </w:rPr>
              <w:t>S&amp;I Corporation</w:t>
            </w:r>
            <w:r>
              <w:rPr>
                <w:rFonts w:hint="eastAsia" w:ascii="Times" w:hAnsi="Times"/>
                <w:color w:val="000000"/>
                <w:szCs w:val="21"/>
              </w:rPr>
              <w:t>于2</w:t>
            </w:r>
            <w:r>
              <w:rPr>
                <w:rFonts w:ascii="Times" w:hAnsi="Times"/>
                <w:color w:val="000000"/>
                <w:szCs w:val="21"/>
              </w:rPr>
              <w:t>002</w:t>
            </w:r>
            <w:r>
              <w:rPr>
                <w:rFonts w:hint="eastAsia" w:ascii="Times" w:hAnsi="Times"/>
                <w:color w:val="000000"/>
                <w:szCs w:val="21"/>
              </w:rPr>
              <w:t>年1月成立于韩国，在全球范围内从事娱乐、资产管理等业务。此外，S&amp;I Corporation通过本次交易的目标公司在中国境外从事工业及环境设施建设工程业务。</w:t>
            </w:r>
            <w:r>
              <w:rPr>
                <w:rFonts w:ascii="Times" w:hAnsi="Times"/>
                <w:color w:val="000000"/>
                <w:szCs w:val="21"/>
              </w:rPr>
              <w:t>S&amp;I Corporation</w:t>
            </w:r>
            <w:r>
              <w:rPr>
                <w:rFonts w:hint="eastAsia" w:ascii="Times" w:hAnsi="Times"/>
                <w:color w:val="000000"/>
                <w:szCs w:val="21"/>
              </w:rPr>
              <w:t>最终控制人株式会社LG的主要业务包括IT服务业；不动产资产相关综合服务业；经济、经营等教育及咨询服务业；体育服务业、不动产租赁业等。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before="156" w:beforeLines="50" w:after="156" w:afterLines="50" w:line="500" w:lineRule="exact"/>
              <w:rPr>
                <w:rFonts w:ascii="Times" w:hAnsi="Times"/>
                <w:b/>
                <w:bCs/>
                <w:szCs w:val="21"/>
              </w:rPr>
            </w:pPr>
            <w:r>
              <w:rPr>
                <w:rFonts w:ascii="Times" w:hAnsi="Times"/>
                <w:b/>
                <w:bCs/>
                <w:szCs w:val="21"/>
              </w:rPr>
              <w:t>简易案件理由（可以单选，也可以多选）</w:t>
            </w:r>
          </w:p>
        </w:tc>
        <w:tc>
          <w:tcPr>
            <w:tcW w:w="6550" w:type="dxa"/>
            <w:gridSpan w:val="2"/>
            <w:vAlign w:val="center"/>
          </w:tcPr>
          <w:p>
            <w:pPr>
              <w:spacing w:line="500" w:lineRule="exact"/>
              <w:rPr>
                <w:rFonts w:ascii="Times" w:hAnsi="Times"/>
                <w:szCs w:val="21"/>
              </w:rPr>
            </w:pPr>
            <w:r>
              <w:rPr>
                <w:rFonts w:ascii="Times" w:hAnsi="Times" w:cs="Arial"/>
                <w:szCs w:val="21"/>
                <w:lang w:val="en-GB"/>
              </w:rPr>
              <w:sym w:font="Wingdings" w:char="F0A8"/>
            </w:r>
            <w:r>
              <w:rPr>
                <w:rFonts w:ascii="Times" w:hAnsi="Times"/>
                <w:szCs w:val="21"/>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before="156" w:beforeLines="50" w:after="156" w:afterLines="50" w:line="500" w:lineRule="exact"/>
              <w:rPr>
                <w:rFonts w:ascii="Times" w:hAnsi="Times"/>
                <w:szCs w:val="21"/>
              </w:rPr>
            </w:pPr>
          </w:p>
        </w:tc>
        <w:tc>
          <w:tcPr>
            <w:tcW w:w="6550" w:type="dxa"/>
            <w:gridSpan w:val="2"/>
            <w:vAlign w:val="center"/>
          </w:tcPr>
          <w:p>
            <w:pPr>
              <w:spacing w:line="500" w:lineRule="exact"/>
              <w:rPr>
                <w:rFonts w:ascii="Times" w:hAnsi="Times"/>
                <w:szCs w:val="21"/>
              </w:rPr>
            </w:pPr>
            <w:r>
              <w:rPr>
                <w:rFonts w:ascii="Times" w:hAnsi="Times" w:cs="Arial"/>
                <w:szCs w:val="21"/>
                <w:lang w:val="en-GB"/>
              </w:rPr>
              <w:sym w:font="Wingdings" w:char="F0A8"/>
            </w:r>
            <w:r>
              <w:rPr>
                <w:rFonts w:ascii="Times" w:hAnsi="Times" w:cs="Arial"/>
                <w:szCs w:val="21"/>
                <w:lang w:val="en-GB"/>
              </w:rPr>
              <w:t xml:space="preserve"> </w:t>
            </w:r>
            <w:r>
              <w:rPr>
                <w:rFonts w:ascii="Times" w:hAnsi="Times"/>
                <w:szCs w:val="21"/>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before="156" w:beforeLines="50" w:after="156" w:afterLines="50" w:line="500" w:lineRule="exact"/>
              <w:rPr>
                <w:rFonts w:ascii="Times" w:hAnsi="Times"/>
                <w:szCs w:val="21"/>
              </w:rPr>
            </w:pPr>
          </w:p>
        </w:tc>
        <w:tc>
          <w:tcPr>
            <w:tcW w:w="6550" w:type="dxa"/>
            <w:gridSpan w:val="2"/>
            <w:vAlign w:val="center"/>
          </w:tcPr>
          <w:p>
            <w:pPr>
              <w:spacing w:line="500" w:lineRule="exact"/>
              <w:rPr>
                <w:rFonts w:ascii="Times" w:hAnsi="Times"/>
                <w:szCs w:val="21"/>
              </w:rPr>
            </w:pPr>
            <w:r>
              <w:rPr>
                <w:rFonts w:ascii="Times" w:hAnsi="Times" w:cs="Arial"/>
                <w:szCs w:val="21"/>
                <w:lang w:val="en-GB"/>
              </w:rPr>
              <w:sym w:font="Wingdings" w:char="F0A8"/>
            </w:r>
            <w:r>
              <w:rPr>
                <w:rFonts w:ascii="Times" w:hAnsi="Times"/>
                <w:szCs w:val="2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before="156" w:beforeLines="50" w:after="156" w:afterLines="50" w:line="500" w:lineRule="exact"/>
              <w:rPr>
                <w:rFonts w:ascii="Times" w:hAnsi="Times"/>
                <w:szCs w:val="21"/>
              </w:rPr>
            </w:pPr>
          </w:p>
        </w:tc>
        <w:tc>
          <w:tcPr>
            <w:tcW w:w="6550" w:type="dxa"/>
            <w:gridSpan w:val="2"/>
            <w:vAlign w:val="center"/>
          </w:tcPr>
          <w:p>
            <w:pPr>
              <w:spacing w:line="500" w:lineRule="exact"/>
              <w:rPr>
                <w:rFonts w:ascii="Times" w:hAnsi="Times"/>
                <w:szCs w:val="21"/>
              </w:rPr>
            </w:pPr>
            <w:r>
              <w:rPr>
                <w:rFonts w:ascii="Times" w:hAnsi="Times" w:cs="Arial"/>
                <w:szCs w:val="21"/>
                <w:lang w:val="en-GB"/>
              </w:rPr>
              <w:sym w:font="Wingdings" w:char="F0A8"/>
            </w:r>
            <w:r>
              <w:rPr>
                <w:rFonts w:ascii="Times" w:hAnsi="Times"/>
                <w:szCs w:val="2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before="156" w:beforeLines="50" w:after="156" w:afterLines="50" w:line="500" w:lineRule="exact"/>
              <w:rPr>
                <w:rFonts w:ascii="Times" w:hAnsi="Times"/>
                <w:szCs w:val="21"/>
              </w:rPr>
            </w:pPr>
          </w:p>
        </w:tc>
        <w:tc>
          <w:tcPr>
            <w:tcW w:w="6550" w:type="dxa"/>
            <w:gridSpan w:val="2"/>
            <w:vAlign w:val="center"/>
          </w:tcPr>
          <w:p>
            <w:pPr>
              <w:spacing w:line="500" w:lineRule="exact"/>
              <w:rPr>
                <w:rFonts w:ascii="Times" w:hAnsi="Times"/>
                <w:szCs w:val="21"/>
              </w:rPr>
            </w:pPr>
            <w:r>
              <w:rPr>
                <w:rFonts w:ascii="Times" w:hAnsi="Times" w:cs="Arial"/>
                <w:szCs w:val="21"/>
                <w:lang w:val="en-GB"/>
              </w:rPr>
              <w:sym w:font="Wingdings" w:char="F0FE"/>
            </w:r>
            <w:r>
              <w:rPr>
                <w:rFonts w:ascii="Times" w:hAnsi="Times"/>
                <w:szCs w:val="2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before="156" w:beforeLines="50" w:after="156" w:afterLines="50" w:line="500" w:lineRule="exact"/>
              <w:rPr>
                <w:rFonts w:ascii="Times" w:hAnsi="Times"/>
                <w:szCs w:val="21"/>
              </w:rPr>
            </w:pPr>
          </w:p>
        </w:tc>
        <w:tc>
          <w:tcPr>
            <w:tcW w:w="6550" w:type="dxa"/>
            <w:gridSpan w:val="2"/>
            <w:vAlign w:val="center"/>
          </w:tcPr>
          <w:p>
            <w:pPr>
              <w:spacing w:line="500" w:lineRule="exact"/>
              <w:rPr>
                <w:rFonts w:ascii="Times" w:hAnsi="Times"/>
                <w:szCs w:val="21"/>
              </w:rPr>
            </w:pPr>
            <w:r>
              <w:rPr>
                <w:rFonts w:ascii="Times" w:hAnsi="Times" w:cs="Arial"/>
                <w:szCs w:val="21"/>
                <w:lang w:val="en-GB"/>
              </w:rPr>
              <w:sym w:font="Wingdings" w:char="F0A8"/>
            </w:r>
            <w:r>
              <w:rPr>
                <w:rFonts w:ascii="Times" w:hAnsi="Times"/>
                <w:szCs w:val="2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809" w:type="dxa"/>
            <w:shd w:val="clear" w:color="auto" w:fill="D9D9D9"/>
            <w:vAlign w:val="center"/>
          </w:tcPr>
          <w:p>
            <w:pPr>
              <w:spacing w:before="156" w:beforeLines="50" w:after="156" w:afterLines="50" w:line="500" w:lineRule="exact"/>
              <w:rPr>
                <w:rFonts w:ascii="Times" w:hAnsi="Times"/>
                <w:b/>
                <w:bCs/>
                <w:szCs w:val="21"/>
              </w:rPr>
            </w:pPr>
            <w:r>
              <w:rPr>
                <w:rFonts w:ascii="Times" w:hAnsi="Times"/>
                <w:b/>
                <w:bCs/>
                <w:szCs w:val="21"/>
              </w:rPr>
              <w:t>备注</w:t>
            </w:r>
          </w:p>
        </w:tc>
        <w:tc>
          <w:tcPr>
            <w:tcW w:w="6550" w:type="dxa"/>
            <w:gridSpan w:val="2"/>
            <w:vAlign w:val="center"/>
          </w:tcPr>
          <w:p>
            <w:pPr>
              <w:widowControl/>
              <w:snapToGrid w:val="0"/>
              <w:spacing w:before="156" w:beforeLines="50" w:after="156" w:afterLines="50"/>
              <w:rPr>
                <w:rFonts w:ascii="Times" w:hAnsi="Times"/>
                <w:szCs w:val="21"/>
              </w:rPr>
            </w:pPr>
            <w:r>
              <w:rPr>
                <w:rFonts w:hint="eastAsia" w:ascii="Times" w:hAnsi="Times"/>
                <w:szCs w:val="21"/>
              </w:rPr>
              <w:t>不适用。</w:t>
            </w:r>
          </w:p>
        </w:tc>
      </w:tr>
    </w:tbl>
    <w:p>
      <w:pPr>
        <w:snapToGrid w:val="0"/>
        <w:spacing w:line="240" w:lineRule="exact"/>
        <w:jc w:val="left"/>
        <w:rPr>
          <w:rFonts w:ascii="Times" w:hAnsi="Times"/>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PMingLiU">
    <w:altName w:val="Droid Sans Fallback"/>
    <w:panose1 w:val="02010601000101010101"/>
    <w:charset w:val="88"/>
    <w:family w:val="roman"/>
    <w:pitch w:val="default"/>
    <w:sig w:usb0="00000000" w:usb1="00000000" w:usb2="00000016" w:usb3="00000000" w:csb0="00100001" w:csb1="00000000"/>
  </w:font>
  <w:font w:name="Times">
    <w:altName w:val="Nimbus Roman No9 L"/>
    <w:panose1 w:val="02020603050405020304"/>
    <w:charset w:val="00"/>
    <w:family w:val="roman"/>
    <w:pitch w:val="default"/>
    <w:sig w:usb0="00000000" w:usb1="00000000" w:usb2="00000009" w:usb3="00000000" w:csb0="000001FF" w:csb1="00000000"/>
  </w:font>
  <w:font w:name="Arial">
    <w:altName w:val="Times New Roman"/>
    <w:panose1 w:val="020B0604020202020204"/>
    <w:charset w:val="00"/>
    <w:family w:val="swiss"/>
    <w:pitch w:val="default"/>
    <w:sig w:usb0="00000000" w:usb1="00000000" w:usb2="00000009" w:usb3="00000000" w:csb0="000001FF" w:csb1="00000000"/>
  </w:font>
  <w:font w:name="方正书宋_GBK">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9376438"/>
      <w:docPartObj>
        <w:docPartGallery w:val="AutoText"/>
      </w:docPartObj>
    </w:sdtPr>
    <w:sdtEndPr>
      <w:rPr>
        <w:rFonts w:ascii="Times New Roman" w:hAnsi="Times New Roman"/>
      </w:rPr>
    </w:sdtEndPr>
    <w:sdtContent>
      <w:sdt>
        <w:sdtPr>
          <w:id w:val="1728636285"/>
          <w:docPartObj>
            <w:docPartGallery w:val="AutoText"/>
          </w:docPartObj>
        </w:sdtPr>
        <w:sdtEndPr>
          <w:rPr>
            <w:rFonts w:ascii="Times New Roman" w:hAnsi="Times New Roman"/>
          </w:rPr>
        </w:sdtEndPr>
        <w:sdtContent>
          <w:p>
            <w:pPr>
              <w:pStyle w:val="5"/>
              <w:jc w:val="center"/>
              <w:rPr>
                <w:rFonts w:ascii="Times New Roman" w:hAnsi="Times New Roman"/>
              </w:rPr>
            </w:pPr>
            <w:r>
              <w:rPr>
                <w:rFonts w:ascii="Times New Roman" w:hAnsi="Times New Roman"/>
                <w:lang w:val="zh-CN"/>
              </w:rPr>
              <w:t xml:space="preserve"> </w:t>
            </w:r>
            <w:r>
              <w:rPr>
                <w:rFonts w:ascii="Times New Roman" w:hAnsi="Times New Roman"/>
                <w:b/>
                <w:bCs/>
                <w:sz w:val="24"/>
                <w:szCs w:val="24"/>
              </w:rPr>
              <w:fldChar w:fldCharType="begin"/>
            </w:r>
            <w:r>
              <w:rPr>
                <w:rFonts w:ascii="Times New Roman" w:hAnsi="Times New Roman"/>
                <w:b/>
                <w:bCs/>
              </w:rPr>
              <w:instrText xml:space="preserve">PAGE</w:instrText>
            </w:r>
            <w:r>
              <w:rPr>
                <w:rFonts w:ascii="Times New Roman" w:hAnsi="Times New Roman"/>
                <w:b/>
                <w:bCs/>
                <w:sz w:val="24"/>
                <w:szCs w:val="24"/>
              </w:rPr>
              <w:fldChar w:fldCharType="separate"/>
            </w:r>
            <w:r>
              <w:rPr>
                <w:rFonts w:ascii="Times New Roman" w:hAnsi="Times New Roman"/>
                <w:b/>
                <w:bCs/>
                <w:lang w:val="zh-CN"/>
              </w:rPr>
              <w:t>2</w:t>
            </w:r>
            <w:r>
              <w:rPr>
                <w:rFonts w:ascii="Times New Roman" w:hAnsi="Times New Roman"/>
                <w:b/>
                <w:bCs/>
                <w:sz w:val="24"/>
                <w:szCs w:val="24"/>
              </w:rPr>
              <w:fldChar w:fldCharType="end"/>
            </w:r>
            <w:r>
              <w:rPr>
                <w:rFonts w:ascii="Times New Roman" w:hAnsi="Times New Roman"/>
                <w:lang w:val="zh-CN"/>
              </w:rPr>
              <w:t xml:space="preserve"> / </w:t>
            </w:r>
            <w:r>
              <w:rPr>
                <w:rFonts w:ascii="Times New Roman" w:hAnsi="Times New Roman"/>
                <w:b/>
                <w:bCs/>
                <w:sz w:val="24"/>
                <w:szCs w:val="24"/>
              </w:rPr>
              <w:fldChar w:fldCharType="begin"/>
            </w:r>
            <w:r>
              <w:rPr>
                <w:rFonts w:ascii="Times New Roman" w:hAnsi="Times New Roman"/>
                <w:b/>
                <w:bCs/>
              </w:rPr>
              <w:instrText xml:space="preserve">NUMPAGES</w:instrText>
            </w:r>
            <w:r>
              <w:rPr>
                <w:rFonts w:ascii="Times New Roman" w:hAnsi="Times New Roman"/>
                <w:b/>
                <w:bCs/>
                <w:sz w:val="24"/>
                <w:szCs w:val="24"/>
              </w:rPr>
              <w:fldChar w:fldCharType="separate"/>
            </w:r>
            <w:r>
              <w:rPr>
                <w:rFonts w:ascii="Times New Roman" w:hAnsi="Times New Roman"/>
                <w:b/>
                <w:bCs/>
                <w:lang w:val="zh-CN"/>
              </w:rPr>
              <w:t>2</w:t>
            </w:r>
            <w:r>
              <w:rPr>
                <w:rFonts w:ascii="Times New Roman" w:hAnsi="Times New Roman"/>
                <w:b/>
                <w:bCs/>
                <w:sz w:val="24"/>
                <w:szCs w:val="24"/>
              </w:rPr>
              <w:fldChar w:fldCharType="end"/>
            </w:r>
          </w:p>
        </w:sdtContent>
      </w:sdt>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6A4903"/>
    <w:multiLevelType w:val="multilevel"/>
    <w:tmpl w:val="1C6A49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true"/>
  <w:bordersDoNotSurroundHeader w:val="true"/>
  <w:bordersDoNotSurroundFooter w:val="true"/>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45507"/>
    <w:rsid w:val="0005594E"/>
    <w:rsid w:val="00082738"/>
    <w:rsid w:val="00087D30"/>
    <w:rsid w:val="000917F0"/>
    <w:rsid w:val="00094095"/>
    <w:rsid w:val="000A3CA7"/>
    <w:rsid w:val="000B0EC8"/>
    <w:rsid w:val="000C5BC7"/>
    <w:rsid w:val="000E7FC9"/>
    <w:rsid w:val="00100B60"/>
    <w:rsid w:val="00113543"/>
    <w:rsid w:val="00117B9E"/>
    <w:rsid w:val="00137BCF"/>
    <w:rsid w:val="001417D8"/>
    <w:rsid w:val="00165964"/>
    <w:rsid w:val="001913F9"/>
    <w:rsid w:val="00192C2C"/>
    <w:rsid w:val="00193065"/>
    <w:rsid w:val="001C1B23"/>
    <w:rsid w:val="001E393B"/>
    <w:rsid w:val="0020313A"/>
    <w:rsid w:val="002128F6"/>
    <w:rsid w:val="002158DC"/>
    <w:rsid w:val="00233AB0"/>
    <w:rsid w:val="00245776"/>
    <w:rsid w:val="00262658"/>
    <w:rsid w:val="00266A6B"/>
    <w:rsid w:val="0029252D"/>
    <w:rsid w:val="002E2C9F"/>
    <w:rsid w:val="002E720A"/>
    <w:rsid w:val="002F2D60"/>
    <w:rsid w:val="00302FE1"/>
    <w:rsid w:val="003048E8"/>
    <w:rsid w:val="003061D7"/>
    <w:rsid w:val="00307976"/>
    <w:rsid w:val="0031093F"/>
    <w:rsid w:val="003145BC"/>
    <w:rsid w:val="00316B15"/>
    <w:rsid w:val="0032355A"/>
    <w:rsid w:val="003C306B"/>
    <w:rsid w:val="003C75D7"/>
    <w:rsid w:val="003D3128"/>
    <w:rsid w:val="003D60DB"/>
    <w:rsid w:val="003F170C"/>
    <w:rsid w:val="004030E1"/>
    <w:rsid w:val="00405BAA"/>
    <w:rsid w:val="00427074"/>
    <w:rsid w:val="00445F6B"/>
    <w:rsid w:val="00462174"/>
    <w:rsid w:val="004B00C8"/>
    <w:rsid w:val="004B3A56"/>
    <w:rsid w:val="004C2586"/>
    <w:rsid w:val="00507D9C"/>
    <w:rsid w:val="00557102"/>
    <w:rsid w:val="00563A4C"/>
    <w:rsid w:val="00566CC7"/>
    <w:rsid w:val="00574F2D"/>
    <w:rsid w:val="005A29E5"/>
    <w:rsid w:val="005B533D"/>
    <w:rsid w:val="005C3D32"/>
    <w:rsid w:val="005D1309"/>
    <w:rsid w:val="005D1B7F"/>
    <w:rsid w:val="005F167B"/>
    <w:rsid w:val="005F5FFA"/>
    <w:rsid w:val="005F7D5B"/>
    <w:rsid w:val="006113D3"/>
    <w:rsid w:val="00616F24"/>
    <w:rsid w:val="006300C0"/>
    <w:rsid w:val="006447F2"/>
    <w:rsid w:val="00644C5B"/>
    <w:rsid w:val="0067330C"/>
    <w:rsid w:val="00675286"/>
    <w:rsid w:val="00692DA5"/>
    <w:rsid w:val="006A4D58"/>
    <w:rsid w:val="006A4F76"/>
    <w:rsid w:val="006A5728"/>
    <w:rsid w:val="006B49BF"/>
    <w:rsid w:val="006D0734"/>
    <w:rsid w:val="006E4C68"/>
    <w:rsid w:val="00720227"/>
    <w:rsid w:val="00720679"/>
    <w:rsid w:val="007364E2"/>
    <w:rsid w:val="0074694B"/>
    <w:rsid w:val="00785C5F"/>
    <w:rsid w:val="007A0249"/>
    <w:rsid w:val="007C000E"/>
    <w:rsid w:val="007C7803"/>
    <w:rsid w:val="008010AD"/>
    <w:rsid w:val="0080386C"/>
    <w:rsid w:val="008354FF"/>
    <w:rsid w:val="0084303C"/>
    <w:rsid w:val="008736FC"/>
    <w:rsid w:val="008750C5"/>
    <w:rsid w:val="008764AD"/>
    <w:rsid w:val="00877D76"/>
    <w:rsid w:val="00885D99"/>
    <w:rsid w:val="008926BD"/>
    <w:rsid w:val="0089745C"/>
    <w:rsid w:val="008A7ED7"/>
    <w:rsid w:val="008C10CC"/>
    <w:rsid w:val="008F634B"/>
    <w:rsid w:val="00900557"/>
    <w:rsid w:val="009134D0"/>
    <w:rsid w:val="0093344B"/>
    <w:rsid w:val="0095347A"/>
    <w:rsid w:val="009733B4"/>
    <w:rsid w:val="0097529A"/>
    <w:rsid w:val="00997099"/>
    <w:rsid w:val="009A7BF2"/>
    <w:rsid w:val="009B22D1"/>
    <w:rsid w:val="009B5555"/>
    <w:rsid w:val="009C1D9D"/>
    <w:rsid w:val="009C5ACB"/>
    <w:rsid w:val="009E544B"/>
    <w:rsid w:val="009F7FE9"/>
    <w:rsid w:val="00A43A3E"/>
    <w:rsid w:val="00A67610"/>
    <w:rsid w:val="00A73519"/>
    <w:rsid w:val="00A73EC0"/>
    <w:rsid w:val="00A77BD3"/>
    <w:rsid w:val="00AA1A78"/>
    <w:rsid w:val="00AB1BC4"/>
    <w:rsid w:val="00AD646B"/>
    <w:rsid w:val="00AE4C10"/>
    <w:rsid w:val="00B01090"/>
    <w:rsid w:val="00B34D88"/>
    <w:rsid w:val="00B357DC"/>
    <w:rsid w:val="00B60E5E"/>
    <w:rsid w:val="00BA0750"/>
    <w:rsid w:val="00BA16D2"/>
    <w:rsid w:val="00BA4F7F"/>
    <w:rsid w:val="00BA6F07"/>
    <w:rsid w:val="00BA7437"/>
    <w:rsid w:val="00BB2377"/>
    <w:rsid w:val="00BB3798"/>
    <w:rsid w:val="00BB4C43"/>
    <w:rsid w:val="00BC44C2"/>
    <w:rsid w:val="00BC6BEF"/>
    <w:rsid w:val="00BD3D34"/>
    <w:rsid w:val="00BD6EBE"/>
    <w:rsid w:val="00BE148A"/>
    <w:rsid w:val="00BF0D84"/>
    <w:rsid w:val="00BF6C60"/>
    <w:rsid w:val="00BF7F17"/>
    <w:rsid w:val="00C068D5"/>
    <w:rsid w:val="00C20325"/>
    <w:rsid w:val="00C318CE"/>
    <w:rsid w:val="00C52346"/>
    <w:rsid w:val="00C76979"/>
    <w:rsid w:val="00C8184D"/>
    <w:rsid w:val="00C9068E"/>
    <w:rsid w:val="00CD148B"/>
    <w:rsid w:val="00CD25EE"/>
    <w:rsid w:val="00CD2BEC"/>
    <w:rsid w:val="00D001A9"/>
    <w:rsid w:val="00D21777"/>
    <w:rsid w:val="00D2453A"/>
    <w:rsid w:val="00D370A7"/>
    <w:rsid w:val="00D451A4"/>
    <w:rsid w:val="00D50AED"/>
    <w:rsid w:val="00D515E7"/>
    <w:rsid w:val="00D73A38"/>
    <w:rsid w:val="00DA3B19"/>
    <w:rsid w:val="00DC70AB"/>
    <w:rsid w:val="00DD222F"/>
    <w:rsid w:val="00DE39D7"/>
    <w:rsid w:val="00DE7DBD"/>
    <w:rsid w:val="00DF4BCE"/>
    <w:rsid w:val="00E11C0D"/>
    <w:rsid w:val="00E25016"/>
    <w:rsid w:val="00E32A0C"/>
    <w:rsid w:val="00E34BA1"/>
    <w:rsid w:val="00E54B29"/>
    <w:rsid w:val="00EB0EE6"/>
    <w:rsid w:val="00EC669A"/>
    <w:rsid w:val="00ED21B1"/>
    <w:rsid w:val="00ED4254"/>
    <w:rsid w:val="00EE2784"/>
    <w:rsid w:val="00EE4AF0"/>
    <w:rsid w:val="00F16269"/>
    <w:rsid w:val="00F234B2"/>
    <w:rsid w:val="00F26A0F"/>
    <w:rsid w:val="00F418F4"/>
    <w:rsid w:val="00F41E5F"/>
    <w:rsid w:val="00F42BAC"/>
    <w:rsid w:val="00F5086B"/>
    <w:rsid w:val="00F87C1F"/>
    <w:rsid w:val="00FD4A2C"/>
    <w:rsid w:val="00FE3C66"/>
    <w:rsid w:val="00FE4CAC"/>
    <w:rsid w:val="00FF2D6D"/>
    <w:rsid w:val="F7FF950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pPr>
      <w:jc w:val="left"/>
    </w:pPr>
  </w:style>
  <w:style w:type="paragraph" w:styleId="3">
    <w:name w:val="endnote text"/>
    <w:basedOn w:val="1"/>
    <w:link w:val="15"/>
    <w:semiHidden/>
    <w:unhideWhenUsed/>
    <w:qFormat/>
    <w:uiPriority w:val="99"/>
    <w:pPr>
      <w:snapToGrid w:val="0"/>
      <w:jc w:val="left"/>
    </w:pPr>
  </w:style>
  <w:style w:type="paragraph" w:styleId="4">
    <w:name w:val="Balloon Text"/>
    <w:basedOn w:val="1"/>
    <w:link w:val="18"/>
    <w:semiHidden/>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1"/>
    <w:semiHidden/>
    <w:qFormat/>
    <w:uiPriority w:val="99"/>
    <w:pPr>
      <w:snapToGrid w:val="0"/>
      <w:jc w:val="left"/>
    </w:pPr>
    <w:rPr>
      <w:rFonts w:ascii="Times New Roman" w:hAnsi="Times New Roman" w:eastAsia="PMingLiU"/>
      <w:sz w:val="20"/>
      <w:szCs w:val="20"/>
      <w:lang w:eastAsia="zh-TW"/>
    </w:rPr>
  </w:style>
  <w:style w:type="paragraph" w:styleId="8">
    <w:name w:val="annotation subject"/>
    <w:basedOn w:val="2"/>
    <w:next w:val="2"/>
    <w:link w:val="23"/>
    <w:semiHidden/>
    <w:unhideWhenUsed/>
    <w:qFormat/>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semiHidden/>
    <w:unhideWhenUsed/>
    <w:qFormat/>
    <w:uiPriority w:val="99"/>
    <w:rPr>
      <w:vertAlign w:val="superscript"/>
    </w:rPr>
  </w:style>
  <w:style w:type="character" w:styleId="13">
    <w:name w:val="annotation reference"/>
    <w:basedOn w:val="11"/>
    <w:unhideWhenUsed/>
    <w:qFormat/>
    <w:uiPriority w:val="0"/>
    <w:rPr>
      <w:sz w:val="21"/>
      <w:szCs w:val="21"/>
    </w:rPr>
  </w:style>
  <w:style w:type="character" w:styleId="14">
    <w:name w:val="footnote reference"/>
    <w:semiHidden/>
    <w:unhideWhenUsed/>
    <w:qFormat/>
    <w:uiPriority w:val="99"/>
    <w:rPr>
      <w:vertAlign w:val="superscript"/>
    </w:rPr>
  </w:style>
  <w:style w:type="character" w:customStyle="1" w:styleId="15">
    <w:name w:val="尾注文本 字符"/>
    <w:basedOn w:val="11"/>
    <w:link w:val="3"/>
    <w:semiHidden/>
    <w:qFormat/>
    <w:uiPriority w:val="99"/>
  </w:style>
  <w:style w:type="character" w:customStyle="1" w:styleId="16">
    <w:name w:val="页眉 字符"/>
    <w:link w:val="6"/>
    <w:qFormat/>
    <w:uiPriority w:val="99"/>
    <w:rPr>
      <w:sz w:val="18"/>
      <w:szCs w:val="18"/>
    </w:rPr>
  </w:style>
  <w:style w:type="character" w:customStyle="1" w:styleId="17">
    <w:name w:val="页脚 字符"/>
    <w:link w:val="5"/>
    <w:qFormat/>
    <w:uiPriority w:val="99"/>
    <w:rPr>
      <w:sz w:val="18"/>
      <w:szCs w:val="18"/>
    </w:rPr>
  </w:style>
  <w:style w:type="character" w:customStyle="1" w:styleId="18">
    <w:name w:val="批注框文本 字符"/>
    <w:link w:val="4"/>
    <w:semiHidden/>
    <w:qFormat/>
    <w:uiPriority w:val="99"/>
    <w:rPr>
      <w:kern w:val="2"/>
      <w:sz w:val="18"/>
      <w:szCs w:val="18"/>
    </w:rPr>
  </w:style>
  <w:style w:type="paragraph" w:customStyle="1" w:styleId="19">
    <w:name w:val="列出段落1"/>
    <w:basedOn w:val="1"/>
    <w:qFormat/>
    <w:uiPriority w:val="34"/>
    <w:pPr>
      <w:ind w:firstLine="420" w:firstLineChars="200"/>
    </w:pPr>
  </w:style>
  <w:style w:type="paragraph" w:styleId="20">
    <w:name w:val="List Paragraph"/>
    <w:basedOn w:val="1"/>
    <w:qFormat/>
    <w:uiPriority w:val="34"/>
    <w:pPr>
      <w:ind w:firstLine="420" w:firstLineChars="200"/>
    </w:pPr>
  </w:style>
  <w:style w:type="character" w:customStyle="1" w:styleId="21">
    <w:name w:val="脚注文本 字符"/>
    <w:link w:val="7"/>
    <w:semiHidden/>
    <w:qFormat/>
    <w:uiPriority w:val="99"/>
    <w:rPr>
      <w:rFonts w:ascii="Times New Roman" w:hAnsi="Times New Roman" w:eastAsia="PMingLiU"/>
      <w:kern w:val="2"/>
      <w:lang w:eastAsia="zh-TW"/>
    </w:rPr>
  </w:style>
  <w:style w:type="character" w:customStyle="1" w:styleId="22">
    <w:name w:val="批注文字 字符"/>
    <w:basedOn w:val="11"/>
    <w:link w:val="2"/>
    <w:semiHidden/>
    <w:qFormat/>
    <w:uiPriority w:val="99"/>
    <w:rPr>
      <w:kern w:val="2"/>
      <w:sz w:val="21"/>
      <w:szCs w:val="22"/>
    </w:rPr>
  </w:style>
  <w:style w:type="character" w:customStyle="1" w:styleId="23">
    <w:name w:val="批注主题 字符"/>
    <w:basedOn w:val="22"/>
    <w:link w:val="8"/>
    <w:semiHidden/>
    <w:qFormat/>
    <w:uiPriority w:val="99"/>
    <w:rPr>
      <w:b/>
      <w:bCs/>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新日鐵住金株式会社</Company>
  <Pages>2</Pages>
  <Words>129</Words>
  <Characters>737</Characters>
  <Lines>6</Lines>
  <Paragraphs>1</Paragraphs>
  <TotalTime>11</TotalTime>
  <ScaleCrop>false</ScaleCrop>
  <LinksUpToDate>false</LinksUpToDate>
  <CharactersWithSpaces>865</CharactersWithSpaces>
  <Application>WPS Office_11.8.2.9864_F1E327BC-269C-435d-A152-05C5408002CA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2021-05-07T09:42:00Z</dcterms:created>
  <dc:creator>dell</dc:creator>
  <cp:lastModifiedBy>greatwall</cp:lastModifiedBy>
  <cp:lastPrinted>2017-01-18T15:04:00Z</cp:lastPrinted>
  <dcterms:modified xsi:type="dcterms:W3CDTF">2022-02-10T16:21:23Z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