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napToGrid w:val="0"/>
        <w:spacing w:before="100" w:beforeAutospacing="1" w:after="100" w:afterAutospacing="1"/>
        <w:jc w:val="left"/>
        <w:rPr>
          <w:rFonts w:ascii="Arial" w:hAnsi="Arial" w:cs="Arial"/>
          <w:b/>
          <w:szCs w:val="21"/>
        </w:rPr>
      </w:pPr>
      <w:r>
        <w:rPr>
          <w:rFonts w:ascii="Arial" w:hAnsi="Arial" w:cs="Arial"/>
          <w:b/>
          <w:szCs w:val="21"/>
        </w:rPr>
        <w:t>附件2</w:t>
      </w:r>
    </w:p>
    <w:p>
      <w:pPr>
        <w:spacing w:line="440" w:lineRule="exact"/>
        <w:jc w:val="center"/>
        <w:rPr>
          <w:rFonts w:ascii="Arial" w:hAnsi="Arial" w:cs="Arial"/>
          <w:sz w:val="30"/>
          <w:szCs w:val="30"/>
        </w:rPr>
      </w:pPr>
      <w:r>
        <w:rPr>
          <w:rFonts w:ascii="Arial" w:hAnsi="Arial" w:cs="Arial"/>
          <w:sz w:val="30"/>
          <w:szCs w:val="30"/>
        </w:rPr>
        <w:t>经营者集中简易案件公示表</w:t>
      </w:r>
    </w:p>
    <w:p>
      <w:pPr>
        <w:spacing w:line="440" w:lineRule="exact"/>
        <w:jc w:val="center"/>
        <w:rPr>
          <w:rFonts w:ascii="Arial" w:hAnsi="Arial" w:cs="Arial"/>
          <w:sz w:val="30"/>
          <w:szCs w:val="30"/>
        </w:rPr>
      </w:pPr>
    </w:p>
    <w:tbl>
      <w:tblPr>
        <w:tblStyle w:val="2"/>
        <w:tblW w:w="87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1796"/>
        <w:gridCol w:w="51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  <w:vAlign w:val="center"/>
          </w:tcPr>
          <w:p>
            <w:pPr>
              <w:spacing w:before="312" w:beforeLines="100" w:after="312" w:afterLines="100"/>
              <w:jc w:val="center"/>
              <w:rPr>
                <w:rFonts w:ascii="Arial" w:hAnsi="Arial" w:cs="Arial"/>
                <w:color w:val="333333"/>
                <w:kern w:val="0"/>
                <w:szCs w:val="21"/>
              </w:rPr>
            </w:pPr>
            <w:r>
              <w:rPr>
                <w:rFonts w:ascii="Arial" w:hAnsi="Arial" w:cs="Arial"/>
                <w:color w:val="333333"/>
                <w:kern w:val="0"/>
                <w:szCs w:val="21"/>
              </w:rPr>
              <w:t>案件名称</w:t>
            </w:r>
          </w:p>
        </w:tc>
        <w:tc>
          <w:tcPr>
            <w:tcW w:w="6949" w:type="dxa"/>
            <w:gridSpan w:val="2"/>
          </w:tcPr>
          <w:p>
            <w:pPr>
              <w:spacing w:before="312" w:beforeLines="100" w:after="312" w:afterLines="100"/>
              <w:rPr>
                <w:rFonts w:ascii="Arial" w:hAnsi="Arial" w:cs="Arial"/>
                <w:color w:val="333333"/>
                <w:kern w:val="0"/>
                <w:szCs w:val="21"/>
              </w:rPr>
            </w:pPr>
            <w:bookmarkStart w:id="0" w:name="OLE_LINK177"/>
            <w:bookmarkStart w:id="1" w:name="OLE_LINK183"/>
            <w:bookmarkStart w:id="2" w:name="OLE_LINK178"/>
            <w:r>
              <w:rPr>
                <w:rFonts w:ascii="Arial" w:hAnsi="Arial" w:cs="Arial"/>
                <w:color w:val="333333"/>
                <w:kern w:val="0"/>
                <w:szCs w:val="21"/>
              </w:rPr>
              <w:t>中集世联达物流科技（集团）股份有限公司</w:t>
            </w:r>
            <w:bookmarkEnd w:id="0"/>
            <w:bookmarkEnd w:id="1"/>
            <w:bookmarkEnd w:id="2"/>
            <w:r>
              <w:rPr>
                <w:rFonts w:ascii="Arial" w:hAnsi="Arial" w:cs="Arial"/>
                <w:color w:val="333333"/>
                <w:kern w:val="0"/>
                <w:szCs w:val="21"/>
              </w:rPr>
              <w:t>与</w:t>
            </w:r>
            <w:bookmarkStart w:id="3" w:name="OLE_LINK184"/>
            <w:bookmarkStart w:id="4" w:name="OLE_LINK185"/>
            <w:r>
              <w:rPr>
                <w:rFonts w:ascii="Arial" w:hAnsi="Arial" w:cs="Arial"/>
                <w:color w:val="333333"/>
                <w:kern w:val="0"/>
                <w:szCs w:val="21"/>
              </w:rPr>
              <w:t>上海瀚麒物流科技有限公司</w:t>
            </w:r>
            <w:bookmarkEnd w:id="3"/>
            <w:bookmarkEnd w:id="4"/>
            <w:r>
              <w:rPr>
                <w:rFonts w:ascii="Arial" w:hAnsi="Arial" w:cs="Arial"/>
                <w:color w:val="333333"/>
                <w:kern w:val="0"/>
                <w:szCs w:val="21"/>
              </w:rPr>
              <w:t>收购</w:t>
            </w:r>
            <w:bookmarkStart w:id="5" w:name="OLE_LINK187"/>
            <w:bookmarkStart w:id="6" w:name="OLE_LINK186"/>
            <w:r>
              <w:rPr>
                <w:rFonts w:ascii="Arial" w:hAnsi="Arial" w:cs="Arial"/>
                <w:color w:val="333333"/>
                <w:kern w:val="0"/>
                <w:szCs w:val="21"/>
              </w:rPr>
              <w:t>上海德畅货运代理有限公司</w:t>
            </w:r>
            <w:bookmarkEnd w:id="5"/>
            <w:bookmarkEnd w:id="6"/>
            <w:r>
              <w:rPr>
                <w:rFonts w:ascii="Arial" w:hAnsi="Arial" w:cs="Arial"/>
                <w:color w:val="333333"/>
                <w:kern w:val="0"/>
                <w:szCs w:val="21"/>
              </w:rPr>
              <w:t>等两家公司资产案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3" w:hRule="atLeast"/>
        </w:trPr>
        <w:tc>
          <w:tcPr>
            <w:tcW w:w="1809" w:type="dxa"/>
            <w:shd w:val="clear" w:color="auto" w:fill="D9D9D9"/>
            <w:vAlign w:val="center"/>
          </w:tcPr>
          <w:p>
            <w:pPr>
              <w:spacing w:before="312" w:beforeLines="100" w:after="312" w:afterLines="100"/>
              <w:jc w:val="center"/>
              <w:rPr>
                <w:rFonts w:ascii="Arial" w:hAnsi="Arial" w:cs="Arial"/>
                <w:color w:val="333333"/>
                <w:kern w:val="0"/>
                <w:szCs w:val="21"/>
              </w:rPr>
            </w:pPr>
            <w:r>
              <w:rPr>
                <w:rFonts w:ascii="Arial" w:hAnsi="Arial" w:cs="Arial"/>
                <w:color w:val="333333"/>
                <w:kern w:val="0"/>
                <w:szCs w:val="21"/>
              </w:rPr>
              <w:t>交易概况</w:t>
            </w:r>
          </w:p>
          <w:p>
            <w:pPr>
              <w:spacing w:before="312" w:beforeLines="100" w:after="312" w:afterLines="100"/>
              <w:jc w:val="center"/>
              <w:rPr>
                <w:rFonts w:ascii="Arial" w:hAnsi="Arial" w:cs="Arial"/>
                <w:color w:val="333333"/>
                <w:kern w:val="0"/>
                <w:szCs w:val="21"/>
              </w:rPr>
            </w:pPr>
            <w:r>
              <w:rPr>
                <w:rFonts w:ascii="Arial" w:hAnsi="Arial" w:cs="Arial"/>
                <w:color w:val="333333"/>
                <w:kern w:val="0"/>
                <w:szCs w:val="21"/>
              </w:rPr>
              <w:t>（限200字内）</w:t>
            </w:r>
          </w:p>
        </w:tc>
        <w:tc>
          <w:tcPr>
            <w:tcW w:w="6949" w:type="dxa"/>
            <w:gridSpan w:val="2"/>
          </w:tcPr>
          <w:p>
            <w:pPr>
              <w:spacing w:before="312" w:beforeLines="100" w:after="312" w:afterLines="100"/>
              <w:rPr>
                <w:rFonts w:ascii="Arial" w:hAnsi="Arial" w:cs="Arial"/>
                <w:color w:val="333333"/>
                <w:kern w:val="0"/>
                <w:szCs w:val="21"/>
              </w:rPr>
            </w:pPr>
            <w:r>
              <w:rPr>
                <w:rFonts w:ascii="Arial" w:hAnsi="Arial" w:cs="Arial"/>
                <w:color w:val="333333"/>
                <w:kern w:val="0"/>
                <w:szCs w:val="21"/>
              </w:rPr>
              <w:t>上海瀚麒物流科技有限公司</w:t>
            </w:r>
            <w:r>
              <w:rPr>
                <w:rFonts w:hint="eastAsia" w:ascii="Arial" w:hAnsi="Arial" w:cs="Arial"/>
                <w:color w:val="333333"/>
                <w:kern w:val="0"/>
                <w:szCs w:val="21"/>
              </w:rPr>
              <w:t>（</w:t>
            </w:r>
            <w:r>
              <w:rPr>
                <w:rFonts w:ascii="Arial" w:hAnsi="Arial" w:cs="Arial"/>
                <w:color w:val="333333"/>
                <w:kern w:val="0"/>
                <w:szCs w:val="21"/>
              </w:rPr>
              <w:t>“</w:t>
            </w:r>
            <w:r>
              <w:rPr>
                <w:rFonts w:ascii="Arial" w:hAnsi="Arial" w:cs="Arial"/>
                <w:b/>
                <w:bCs/>
                <w:color w:val="333333"/>
                <w:kern w:val="0"/>
                <w:szCs w:val="21"/>
              </w:rPr>
              <w:t>上海瀚麒</w:t>
            </w:r>
            <w:r>
              <w:rPr>
                <w:rFonts w:ascii="Arial" w:hAnsi="Arial" w:cs="Arial"/>
                <w:color w:val="333333"/>
                <w:kern w:val="0"/>
                <w:szCs w:val="21"/>
              </w:rPr>
              <w:t>”</w:t>
            </w:r>
            <w:r>
              <w:rPr>
                <w:rFonts w:hint="eastAsia" w:ascii="Arial" w:hAnsi="Arial" w:cs="Arial"/>
                <w:color w:val="333333"/>
                <w:kern w:val="0"/>
                <w:szCs w:val="21"/>
              </w:rPr>
              <w:t>）</w:t>
            </w:r>
            <w:r>
              <w:rPr>
                <w:rFonts w:ascii="Arial" w:hAnsi="Arial" w:cs="Arial"/>
                <w:color w:val="333333"/>
                <w:kern w:val="0"/>
                <w:szCs w:val="21"/>
              </w:rPr>
              <w:t>拟收购中集世联达物流科技（集团）股份有限公司（“</w:t>
            </w:r>
            <w:r>
              <w:rPr>
                <w:rFonts w:ascii="Arial" w:hAnsi="Arial" w:cs="Arial"/>
                <w:b/>
                <w:bCs/>
                <w:color w:val="333333"/>
                <w:kern w:val="0"/>
                <w:szCs w:val="21"/>
              </w:rPr>
              <w:t>中集世联达</w:t>
            </w:r>
            <w:r>
              <w:rPr>
                <w:rFonts w:ascii="Arial" w:hAnsi="Arial" w:cs="Arial"/>
                <w:color w:val="333333"/>
                <w:kern w:val="0"/>
                <w:szCs w:val="21"/>
              </w:rPr>
              <w:t>”）</w:t>
            </w:r>
            <w:r>
              <w:rPr>
                <w:rFonts w:hint="eastAsia" w:ascii="Arial" w:hAnsi="Arial" w:cs="Arial"/>
                <w:color w:val="333333"/>
                <w:kern w:val="0"/>
                <w:szCs w:val="21"/>
              </w:rPr>
              <w:t>拟新设</w:t>
            </w:r>
            <w:r>
              <w:rPr>
                <w:rFonts w:ascii="Arial" w:hAnsi="Arial" w:cs="Arial"/>
                <w:color w:val="333333"/>
                <w:kern w:val="0"/>
                <w:szCs w:val="21"/>
              </w:rPr>
              <w:t>全资子公司中</w:t>
            </w:r>
            <w:bookmarkStart w:id="13" w:name="_GoBack"/>
            <w:bookmarkEnd w:id="13"/>
            <w:r>
              <w:rPr>
                <w:rFonts w:ascii="Arial" w:hAnsi="Arial" w:cs="Arial"/>
                <w:color w:val="333333"/>
                <w:kern w:val="0"/>
                <w:szCs w:val="21"/>
              </w:rPr>
              <w:t>集世联达泽联国际物流（上海）有限公司（“</w:t>
            </w:r>
            <w:r>
              <w:rPr>
                <w:rFonts w:ascii="Arial" w:hAnsi="Arial" w:cs="Arial"/>
                <w:b/>
                <w:bCs/>
                <w:color w:val="333333"/>
                <w:kern w:val="0"/>
                <w:szCs w:val="21"/>
              </w:rPr>
              <w:t>中集上海</w:t>
            </w:r>
            <w:r>
              <w:rPr>
                <w:rFonts w:ascii="Arial" w:hAnsi="Arial" w:cs="Arial"/>
                <w:color w:val="333333"/>
                <w:kern w:val="0"/>
                <w:szCs w:val="21"/>
              </w:rPr>
              <w:t>”，暂定名）40%股权</w:t>
            </w:r>
            <w:r>
              <w:rPr>
                <w:rFonts w:hint="eastAsia" w:ascii="Arial" w:hAnsi="Arial" w:cs="Arial"/>
                <w:color w:val="333333"/>
                <w:kern w:val="0"/>
                <w:szCs w:val="21"/>
              </w:rPr>
              <w:t>。</w:t>
            </w:r>
          </w:p>
          <w:p>
            <w:pPr>
              <w:spacing w:before="312" w:beforeLines="100" w:after="312" w:afterLines="100"/>
              <w:rPr>
                <w:rFonts w:ascii="Arial" w:hAnsi="Arial" w:cs="Arial"/>
                <w:color w:val="333333"/>
                <w:kern w:val="0"/>
                <w:szCs w:val="21"/>
              </w:rPr>
            </w:pPr>
            <w:r>
              <w:rPr>
                <w:rFonts w:hint="eastAsia" w:ascii="Arial" w:hAnsi="Arial" w:cs="Arial"/>
                <w:color w:val="333333"/>
                <w:kern w:val="0"/>
                <w:szCs w:val="21"/>
              </w:rPr>
              <w:t>同时，</w:t>
            </w:r>
            <w:r>
              <w:rPr>
                <w:rFonts w:ascii="Arial" w:hAnsi="Arial" w:cs="Arial"/>
                <w:color w:val="333333"/>
                <w:kern w:val="0"/>
                <w:szCs w:val="21"/>
              </w:rPr>
              <w:t>上海德畅货运代理有限公司（“</w:t>
            </w:r>
            <w:r>
              <w:rPr>
                <w:rFonts w:ascii="Arial" w:hAnsi="Arial" w:cs="Arial"/>
                <w:b/>
                <w:bCs/>
                <w:color w:val="333333"/>
                <w:kern w:val="0"/>
                <w:szCs w:val="21"/>
              </w:rPr>
              <w:t>上海德畅</w:t>
            </w:r>
            <w:r>
              <w:rPr>
                <w:rFonts w:ascii="Arial" w:hAnsi="Arial" w:cs="Arial"/>
                <w:color w:val="333333"/>
                <w:kern w:val="0"/>
                <w:szCs w:val="21"/>
              </w:rPr>
              <w:t>”）和上海适天国际货物运输代理有限公司</w:t>
            </w:r>
            <w:r>
              <w:rPr>
                <w:rFonts w:hint="eastAsia" w:ascii="Arial" w:hAnsi="Arial" w:cs="Arial"/>
                <w:color w:val="333333"/>
                <w:kern w:val="0"/>
                <w:szCs w:val="21"/>
              </w:rPr>
              <w:t>（</w:t>
            </w:r>
            <w:r>
              <w:rPr>
                <w:rFonts w:ascii="Arial" w:hAnsi="Arial" w:cs="Arial"/>
                <w:color w:val="333333"/>
                <w:kern w:val="0"/>
                <w:szCs w:val="21"/>
              </w:rPr>
              <w:t>“</w:t>
            </w:r>
            <w:r>
              <w:rPr>
                <w:rFonts w:ascii="Arial" w:hAnsi="Arial" w:cs="Arial"/>
                <w:b/>
                <w:bCs/>
                <w:color w:val="333333"/>
                <w:kern w:val="0"/>
                <w:szCs w:val="21"/>
              </w:rPr>
              <w:t>上海适天</w:t>
            </w:r>
            <w:r>
              <w:rPr>
                <w:rFonts w:ascii="Arial" w:hAnsi="Arial" w:cs="Arial"/>
                <w:color w:val="333333"/>
                <w:kern w:val="0"/>
                <w:szCs w:val="21"/>
              </w:rPr>
              <w:t>”）的实质性全部资产和人员</w:t>
            </w:r>
            <w:r>
              <w:rPr>
                <w:rFonts w:hint="eastAsia" w:ascii="Arial" w:hAnsi="Arial" w:cs="Arial"/>
                <w:color w:val="333333"/>
                <w:kern w:val="0"/>
                <w:szCs w:val="21"/>
              </w:rPr>
              <w:t>将</w:t>
            </w:r>
            <w:r>
              <w:rPr>
                <w:rFonts w:ascii="Arial" w:hAnsi="Arial" w:cs="Arial"/>
                <w:color w:val="333333"/>
                <w:kern w:val="0"/>
                <w:szCs w:val="21"/>
              </w:rPr>
              <w:t>转入中集上海。</w:t>
            </w:r>
          </w:p>
          <w:p>
            <w:pPr>
              <w:spacing w:before="312" w:beforeLines="100" w:after="312" w:afterLines="100"/>
              <w:rPr>
                <w:rFonts w:ascii="Arial" w:hAnsi="Arial" w:cs="Arial"/>
                <w:color w:val="333333"/>
                <w:kern w:val="0"/>
                <w:szCs w:val="21"/>
              </w:rPr>
            </w:pPr>
            <w:r>
              <w:rPr>
                <w:rFonts w:ascii="Arial" w:hAnsi="Arial" w:cs="Arial"/>
                <w:color w:val="333333"/>
                <w:kern w:val="0"/>
                <w:szCs w:val="21"/>
              </w:rPr>
              <w:t>本次交易后，</w:t>
            </w:r>
            <w:bookmarkStart w:id="7" w:name="OLE_LINK75"/>
            <w:bookmarkStart w:id="8" w:name="OLE_LINK55"/>
            <w:bookmarkStart w:id="9" w:name="OLE_LINK12"/>
            <w:bookmarkStart w:id="10" w:name="OLE_LINK54"/>
            <w:r>
              <w:rPr>
                <w:rFonts w:ascii="Arial" w:hAnsi="Arial" w:cs="Arial"/>
                <w:color w:val="333333"/>
                <w:kern w:val="0"/>
                <w:szCs w:val="21"/>
              </w:rPr>
              <w:t>中集世联达</w:t>
            </w:r>
            <w:bookmarkEnd w:id="7"/>
            <w:r>
              <w:rPr>
                <w:rFonts w:ascii="Arial" w:hAnsi="Arial" w:cs="Arial"/>
                <w:color w:val="333333"/>
                <w:kern w:val="0"/>
                <w:szCs w:val="21"/>
              </w:rPr>
              <w:t>和</w:t>
            </w:r>
            <w:r>
              <w:rPr>
                <w:rFonts w:hint="eastAsia" w:ascii="Arial" w:hAnsi="Arial" w:cs="Arial"/>
                <w:b w:val="0"/>
                <w:bCs w:val="0"/>
                <w:color w:val="333333"/>
                <w:kern w:val="0"/>
                <w:szCs w:val="21"/>
              </w:rPr>
              <w:t>上海瀚麒</w:t>
            </w:r>
            <w:bookmarkEnd w:id="8"/>
            <w:bookmarkEnd w:id="9"/>
            <w:bookmarkEnd w:id="10"/>
            <w:r>
              <w:rPr>
                <w:rFonts w:ascii="Arial" w:hAnsi="Arial" w:cs="Arial"/>
                <w:color w:val="333333"/>
                <w:kern w:val="0"/>
                <w:szCs w:val="21"/>
              </w:rPr>
              <w:t>将共同控制中集上海（包含上海德畅和上海适天的实质性全部资产和人员）。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spacing w:before="312" w:beforeLines="100" w:after="312" w:afterLines="100"/>
              <w:jc w:val="center"/>
              <w:rPr>
                <w:rFonts w:ascii="Arial" w:hAnsi="Arial" w:cs="Arial"/>
                <w:color w:val="333333"/>
                <w:kern w:val="0"/>
                <w:szCs w:val="21"/>
              </w:rPr>
            </w:pPr>
            <w:r>
              <w:rPr>
                <w:rFonts w:ascii="Arial" w:hAnsi="Arial" w:cs="Arial"/>
                <w:color w:val="333333"/>
                <w:kern w:val="0"/>
                <w:szCs w:val="21"/>
              </w:rPr>
              <w:t>参与集中的</w:t>
            </w:r>
          </w:p>
          <w:p>
            <w:pPr>
              <w:spacing w:before="312" w:beforeLines="100" w:after="312" w:afterLines="100"/>
              <w:jc w:val="center"/>
              <w:rPr>
                <w:rFonts w:ascii="Arial" w:hAnsi="Arial" w:cs="Arial"/>
                <w:color w:val="333333"/>
                <w:kern w:val="0"/>
                <w:szCs w:val="21"/>
              </w:rPr>
            </w:pPr>
            <w:r>
              <w:rPr>
                <w:rFonts w:ascii="Arial" w:hAnsi="Arial" w:cs="Arial"/>
                <w:color w:val="333333"/>
                <w:kern w:val="0"/>
                <w:szCs w:val="21"/>
              </w:rPr>
              <w:t>经营者简介</w:t>
            </w:r>
          </w:p>
        </w:tc>
        <w:tc>
          <w:tcPr>
            <w:tcW w:w="1796" w:type="dxa"/>
          </w:tcPr>
          <w:p>
            <w:pPr>
              <w:spacing w:before="312" w:beforeLines="100" w:after="312" w:afterLines="100"/>
              <w:rPr>
                <w:rFonts w:ascii="Arial" w:hAnsi="Arial" w:cs="Arial"/>
                <w:color w:val="333333"/>
                <w:kern w:val="0"/>
                <w:szCs w:val="21"/>
              </w:rPr>
            </w:pPr>
            <w:r>
              <w:rPr>
                <w:rFonts w:ascii="Arial" w:hAnsi="Arial" w:cs="Arial"/>
                <w:color w:val="333333"/>
                <w:kern w:val="0"/>
                <w:szCs w:val="21"/>
              </w:rPr>
              <w:t>1、中集世联达</w:t>
            </w:r>
          </w:p>
        </w:tc>
        <w:tc>
          <w:tcPr>
            <w:tcW w:w="5153" w:type="dxa"/>
          </w:tcPr>
          <w:p>
            <w:pPr>
              <w:spacing w:before="312" w:beforeLines="100" w:after="312" w:afterLines="100"/>
              <w:rPr>
                <w:rFonts w:ascii="Arial" w:hAnsi="Arial" w:cs="Arial"/>
                <w:color w:val="333333"/>
                <w:kern w:val="0"/>
                <w:szCs w:val="21"/>
              </w:rPr>
            </w:pPr>
            <w:r>
              <w:rPr>
                <w:rFonts w:ascii="Arial" w:hAnsi="Arial" w:cs="Arial"/>
                <w:color w:val="333333"/>
                <w:kern w:val="0"/>
                <w:szCs w:val="21"/>
              </w:rPr>
              <w:t>中集世联达于</w:t>
            </w:r>
            <w:bookmarkStart w:id="11" w:name="OLE_LINK212"/>
            <w:bookmarkStart w:id="12" w:name="OLE_LINK213"/>
            <w:r>
              <w:rPr>
                <w:rFonts w:ascii="Arial" w:hAnsi="Arial" w:cs="Arial"/>
                <w:color w:val="333333"/>
                <w:kern w:val="0"/>
                <w:szCs w:val="21"/>
              </w:rPr>
              <w:t>2014年3月12</w:t>
            </w:r>
            <w:bookmarkEnd w:id="11"/>
            <w:bookmarkEnd w:id="12"/>
            <w:r>
              <w:rPr>
                <w:rFonts w:ascii="Arial" w:hAnsi="Arial" w:cs="Arial"/>
                <w:color w:val="333333"/>
                <w:kern w:val="0"/>
                <w:szCs w:val="21"/>
              </w:rPr>
              <w:t>日在中国天津注册成立，注册地址为天津经济技术开发区南港工业区综合服务区办公楼C座二层213-01室。公司主要从事集装箱服务和国际货运代理等。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before="312" w:beforeLines="100" w:after="312" w:afterLines="100"/>
              <w:jc w:val="center"/>
              <w:rPr>
                <w:rFonts w:ascii="Arial" w:hAnsi="Arial" w:cs="Arial"/>
                <w:color w:val="333333"/>
                <w:kern w:val="0"/>
                <w:szCs w:val="21"/>
              </w:rPr>
            </w:pPr>
          </w:p>
        </w:tc>
        <w:tc>
          <w:tcPr>
            <w:tcW w:w="1796" w:type="dxa"/>
          </w:tcPr>
          <w:p>
            <w:pPr>
              <w:spacing w:before="312" w:beforeLines="100" w:after="312" w:afterLines="100"/>
              <w:rPr>
                <w:rFonts w:ascii="Arial" w:hAnsi="Arial" w:cs="Arial"/>
                <w:color w:val="333333"/>
                <w:kern w:val="0"/>
                <w:szCs w:val="21"/>
              </w:rPr>
            </w:pPr>
            <w:r>
              <w:rPr>
                <w:rFonts w:ascii="Arial" w:hAnsi="Arial" w:cs="Arial"/>
                <w:color w:val="333333"/>
                <w:kern w:val="0"/>
                <w:szCs w:val="21"/>
              </w:rPr>
              <w:t>2、</w:t>
            </w:r>
            <w:r>
              <w:rPr>
                <w:rFonts w:hint="eastAsia" w:ascii="Arial" w:hAnsi="Arial" w:cs="Arial"/>
                <w:b w:val="0"/>
                <w:bCs w:val="0"/>
                <w:color w:val="333333"/>
                <w:kern w:val="0"/>
                <w:szCs w:val="21"/>
              </w:rPr>
              <w:t>上海瀚麒</w:t>
            </w:r>
          </w:p>
        </w:tc>
        <w:tc>
          <w:tcPr>
            <w:tcW w:w="5153" w:type="dxa"/>
          </w:tcPr>
          <w:p>
            <w:pPr>
              <w:spacing w:before="312" w:beforeLines="100" w:after="312" w:afterLines="100"/>
              <w:rPr>
                <w:rFonts w:ascii="Arial" w:hAnsi="Arial" w:cs="Arial"/>
                <w:color w:val="333333"/>
                <w:kern w:val="0"/>
                <w:szCs w:val="21"/>
              </w:rPr>
            </w:pPr>
            <w:r>
              <w:rPr>
                <w:rFonts w:ascii="Arial" w:hAnsi="Arial" w:cs="Arial"/>
                <w:color w:val="333333"/>
                <w:kern w:val="0"/>
                <w:szCs w:val="21"/>
              </w:rPr>
              <w:t>上海瀚麒</w:t>
            </w:r>
            <w:r>
              <w:rPr>
                <w:rFonts w:hint="eastAsia" w:ascii="Arial" w:hAnsi="Arial" w:cs="Arial"/>
                <w:color w:val="333333"/>
                <w:kern w:val="0"/>
                <w:szCs w:val="21"/>
              </w:rPr>
              <w:t>于</w:t>
            </w:r>
            <w:r>
              <w:rPr>
                <w:rFonts w:ascii="Arial" w:hAnsi="Arial" w:cs="Arial"/>
                <w:color w:val="333333"/>
                <w:kern w:val="0"/>
                <w:szCs w:val="21"/>
              </w:rPr>
              <w:t>2022</w:t>
            </w:r>
            <w:r>
              <w:rPr>
                <w:rFonts w:hint="eastAsia" w:ascii="Arial" w:hAnsi="Arial" w:cs="Arial"/>
                <w:color w:val="333333"/>
                <w:kern w:val="0"/>
                <w:szCs w:val="21"/>
              </w:rPr>
              <w:t>年</w:t>
            </w:r>
            <w:r>
              <w:rPr>
                <w:rFonts w:ascii="Arial" w:hAnsi="Arial" w:cs="Arial"/>
                <w:color w:val="333333"/>
                <w:kern w:val="0"/>
                <w:szCs w:val="21"/>
              </w:rPr>
              <w:t>1</w:t>
            </w:r>
            <w:r>
              <w:rPr>
                <w:rFonts w:hint="eastAsia" w:ascii="Arial" w:hAnsi="Arial" w:cs="Arial"/>
                <w:color w:val="333333"/>
                <w:kern w:val="0"/>
                <w:szCs w:val="21"/>
              </w:rPr>
              <w:t>月</w:t>
            </w:r>
            <w:r>
              <w:rPr>
                <w:rFonts w:ascii="Arial" w:hAnsi="Arial" w:cs="Arial"/>
                <w:color w:val="333333"/>
                <w:kern w:val="0"/>
                <w:szCs w:val="21"/>
              </w:rPr>
              <w:t>28</w:t>
            </w:r>
            <w:r>
              <w:rPr>
                <w:rFonts w:hint="eastAsia" w:ascii="Arial" w:hAnsi="Arial" w:cs="Arial"/>
                <w:color w:val="333333"/>
                <w:kern w:val="0"/>
                <w:szCs w:val="21"/>
              </w:rPr>
              <w:t>日在中国上海注册成立。公司由</w:t>
            </w:r>
            <w:r>
              <w:rPr>
                <w:rFonts w:ascii="Arial" w:hAnsi="Arial" w:cs="Arial"/>
                <w:color w:val="333333"/>
                <w:kern w:val="0"/>
                <w:szCs w:val="21"/>
              </w:rPr>
              <w:t>江海洲先生</w:t>
            </w:r>
            <w:r>
              <w:rPr>
                <w:rFonts w:hint="eastAsia" w:ascii="Arial" w:hAnsi="Arial" w:cs="Arial"/>
                <w:color w:val="333333"/>
                <w:kern w:val="0"/>
                <w:szCs w:val="21"/>
              </w:rPr>
              <w:t>全资持有，主要业务是在本次交易后持股中集上海。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before="312" w:beforeLines="100" w:after="312" w:afterLines="100"/>
              <w:jc w:val="center"/>
              <w:rPr>
                <w:rFonts w:ascii="Arial" w:hAnsi="Arial" w:cs="Arial"/>
                <w:color w:val="333333"/>
                <w:kern w:val="0"/>
                <w:szCs w:val="21"/>
              </w:rPr>
            </w:pPr>
          </w:p>
        </w:tc>
        <w:tc>
          <w:tcPr>
            <w:tcW w:w="1796" w:type="dxa"/>
          </w:tcPr>
          <w:p>
            <w:pPr>
              <w:spacing w:before="312" w:beforeLines="100" w:after="312" w:afterLines="100"/>
              <w:rPr>
                <w:rFonts w:ascii="Arial" w:hAnsi="Arial" w:cs="Arial"/>
                <w:color w:val="333333"/>
                <w:kern w:val="0"/>
                <w:szCs w:val="21"/>
              </w:rPr>
            </w:pPr>
            <w:r>
              <w:rPr>
                <w:rFonts w:ascii="Arial" w:hAnsi="Arial" w:cs="Arial"/>
                <w:color w:val="333333"/>
                <w:kern w:val="0"/>
                <w:szCs w:val="21"/>
              </w:rPr>
              <w:t>3、上海德畅的实质性全部资产和人员</w:t>
            </w:r>
          </w:p>
        </w:tc>
        <w:tc>
          <w:tcPr>
            <w:tcW w:w="5153" w:type="dxa"/>
          </w:tcPr>
          <w:p>
            <w:pPr>
              <w:spacing w:before="312" w:beforeLines="100" w:after="312" w:afterLines="100"/>
              <w:rPr>
                <w:rFonts w:ascii="Arial" w:hAnsi="Arial" w:cs="Arial"/>
                <w:color w:val="333333"/>
                <w:kern w:val="0"/>
                <w:szCs w:val="21"/>
              </w:rPr>
            </w:pPr>
            <w:r>
              <w:rPr>
                <w:rFonts w:ascii="Arial" w:hAnsi="Arial" w:cs="Arial"/>
                <w:color w:val="333333"/>
                <w:kern w:val="0"/>
                <w:szCs w:val="21"/>
              </w:rPr>
              <w:t>上海德畅于2003年5月6日在中国上海注册成立</w:t>
            </w:r>
            <w:r>
              <w:rPr>
                <w:rFonts w:hint="eastAsia" w:ascii="Arial" w:hAnsi="Arial" w:cs="Arial"/>
                <w:color w:val="333333"/>
                <w:kern w:val="0"/>
                <w:szCs w:val="21"/>
              </w:rPr>
              <w:t>。公司</w:t>
            </w:r>
            <w:r>
              <w:rPr>
                <w:rFonts w:ascii="Arial" w:hAnsi="Arial" w:cs="Arial"/>
                <w:color w:val="333333"/>
                <w:kern w:val="0"/>
                <w:szCs w:val="21"/>
              </w:rPr>
              <w:t>主营业务为国际海上货物运输代理业务。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before="312" w:beforeLines="100" w:after="312" w:afterLines="100"/>
              <w:jc w:val="center"/>
              <w:rPr>
                <w:rFonts w:ascii="Arial" w:hAnsi="Arial" w:cs="Arial"/>
                <w:color w:val="333333"/>
                <w:kern w:val="0"/>
                <w:szCs w:val="21"/>
              </w:rPr>
            </w:pPr>
          </w:p>
        </w:tc>
        <w:tc>
          <w:tcPr>
            <w:tcW w:w="1796" w:type="dxa"/>
          </w:tcPr>
          <w:p>
            <w:pPr>
              <w:spacing w:before="312" w:beforeLines="100" w:after="312" w:afterLines="100"/>
              <w:rPr>
                <w:rFonts w:ascii="Arial" w:hAnsi="Arial" w:cs="Arial"/>
                <w:color w:val="333333"/>
                <w:kern w:val="0"/>
                <w:szCs w:val="21"/>
              </w:rPr>
            </w:pPr>
            <w:r>
              <w:rPr>
                <w:rFonts w:hint="eastAsia" w:ascii="Arial" w:hAnsi="Arial" w:cs="Arial"/>
                <w:color w:val="333333"/>
                <w:kern w:val="0"/>
                <w:szCs w:val="21"/>
              </w:rPr>
              <w:t>4、</w:t>
            </w:r>
            <w:r>
              <w:rPr>
                <w:rFonts w:ascii="Arial" w:hAnsi="Arial" w:cs="Arial"/>
                <w:color w:val="333333"/>
                <w:kern w:val="0"/>
                <w:szCs w:val="21"/>
              </w:rPr>
              <w:t>上海适天的实质性全部资产和人员</w:t>
            </w:r>
          </w:p>
        </w:tc>
        <w:tc>
          <w:tcPr>
            <w:tcW w:w="5153" w:type="dxa"/>
          </w:tcPr>
          <w:p>
            <w:pPr>
              <w:spacing w:before="312" w:beforeLines="100" w:after="312" w:afterLines="100"/>
              <w:rPr>
                <w:rFonts w:ascii="Arial" w:hAnsi="Arial" w:cs="Arial"/>
                <w:color w:val="333333"/>
                <w:kern w:val="0"/>
                <w:szCs w:val="21"/>
              </w:rPr>
            </w:pPr>
            <w:r>
              <w:rPr>
                <w:rFonts w:ascii="Arial" w:hAnsi="Arial" w:cs="Arial"/>
                <w:color w:val="333333"/>
                <w:kern w:val="0"/>
                <w:szCs w:val="21"/>
              </w:rPr>
              <w:t>上海适天于2004年6月17日在中国上海注册成立</w:t>
            </w:r>
            <w:r>
              <w:rPr>
                <w:rFonts w:hint="eastAsia" w:ascii="Arial" w:hAnsi="Arial" w:cs="Arial"/>
                <w:color w:val="333333"/>
                <w:kern w:val="0"/>
                <w:szCs w:val="21"/>
              </w:rPr>
              <w:t>。公司</w:t>
            </w:r>
            <w:r>
              <w:rPr>
                <w:rFonts w:ascii="Arial" w:hAnsi="Arial" w:cs="Arial"/>
                <w:color w:val="333333"/>
                <w:kern w:val="0"/>
                <w:szCs w:val="21"/>
              </w:rPr>
              <w:t>主营业务为国际海上货物运输代理业务。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spacing w:before="312" w:beforeLines="100" w:after="312" w:afterLines="100"/>
              <w:jc w:val="center"/>
              <w:rPr>
                <w:rFonts w:ascii="Arial" w:hAnsi="Arial" w:cs="Arial"/>
                <w:color w:val="333333"/>
                <w:kern w:val="0"/>
                <w:szCs w:val="21"/>
              </w:rPr>
            </w:pPr>
            <w:r>
              <w:rPr>
                <w:rFonts w:ascii="Arial" w:hAnsi="Arial" w:cs="Arial"/>
                <w:color w:val="333333"/>
                <w:kern w:val="0"/>
                <w:szCs w:val="21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>
            <w:pPr>
              <w:spacing w:before="312" w:beforeLines="100" w:after="312" w:afterLines="100"/>
              <w:rPr>
                <w:rFonts w:ascii="Arial" w:hAnsi="Arial" w:cs="Arial"/>
                <w:b/>
                <w:bCs/>
                <w:color w:val="333333"/>
                <w:kern w:val="0"/>
                <w:szCs w:val="21"/>
              </w:rPr>
            </w:pPr>
            <w:r>
              <w:rPr>
                <w:rFonts w:ascii="Arial" w:hAnsi="Arial" w:cs="Arial"/>
                <w:b/>
                <w:bCs/>
                <w:szCs w:val="21"/>
              </w:rPr>
              <w:sym w:font="Wingdings" w:char="F0FE"/>
            </w:r>
            <w:r>
              <w:rPr>
                <w:rFonts w:ascii="Arial" w:hAnsi="Arial" w:cs="Arial"/>
                <w:b/>
                <w:bCs/>
                <w:szCs w:val="21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333333"/>
                <w:kern w:val="0"/>
                <w:szCs w:val="21"/>
              </w:rPr>
              <w:t>1.在同一相关市场，所有参与集中的经营者所占市场份额之和小于15%。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before="312" w:beforeLines="100" w:after="312" w:afterLines="100"/>
              <w:jc w:val="center"/>
              <w:rPr>
                <w:rFonts w:ascii="Arial" w:hAnsi="Arial" w:cs="Arial"/>
                <w:color w:val="333333"/>
                <w:kern w:val="0"/>
                <w:szCs w:val="21"/>
              </w:rPr>
            </w:pPr>
          </w:p>
        </w:tc>
        <w:tc>
          <w:tcPr>
            <w:tcW w:w="6949" w:type="dxa"/>
            <w:gridSpan w:val="2"/>
          </w:tcPr>
          <w:p>
            <w:pPr>
              <w:spacing w:before="312" w:beforeLines="100" w:after="312" w:afterLines="100"/>
              <w:rPr>
                <w:rFonts w:ascii="Arial" w:hAnsi="Arial" w:cs="Arial"/>
                <w:color w:val="333333"/>
                <w:kern w:val="0"/>
                <w:szCs w:val="21"/>
              </w:rPr>
            </w:pPr>
            <w:r>
              <w:rPr>
                <w:rFonts w:ascii="Arial" w:hAnsi="Arial" w:cs="Arial"/>
                <w:szCs w:val="21"/>
              </w:rPr>
              <w:sym w:font="Wingdings" w:char="F0A8"/>
            </w:r>
            <w:r>
              <w:rPr>
                <w:rFonts w:ascii="Arial" w:hAnsi="Arial" w:cs="Arial"/>
                <w:szCs w:val="21"/>
              </w:rPr>
              <w:t xml:space="preserve"> </w:t>
            </w:r>
            <w:r>
              <w:rPr>
                <w:rFonts w:ascii="Arial" w:hAnsi="Arial" w:cs="Arial"/>
                <w:color w:val="333333"/>
                <w:kern w:val="0"/>
                <w:szCs w:val="21"/>
              </w:rPr>
              <w:t>2.存在上下游关系的参与集中的经营者，在上下游市场所占的市场份额均小于25%。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before="312" w:beforeLines="100" w:after="312" w:afterLines="100"/>
              <w:jc w:val="center"/>
              <w:rPr>
                <w:rFonts w:ascii="Arial" w:hAnsi="Arial" w:cs="Arial"/>
                <w:color w:val="333333"/>
                <w:kern w:val="0"/>
                <w:szCs w:val="21"/>
              </w:rPr>
            </w:pPr>
          </w:p>
        </w:tc>
        <w:tc>
          <w:tcPr>
            <w:tcW w:w="6949" w:type="dxa"/>
            <w:gridSpan w:val="2"/>
          </w:tcPr>
          <w:p>
            <w:pPr>
              <w:spacing w:before="312" w:beforeLines="100" w:after="312" w:afterLines="100"/>
              <w:rPr>
                <w:rFonts w:ascii="Arial" w:hAnsi="Arial" w:cs="Arial"/>
                <w:color w:val="333333"/>
                <w:kern w:val="0"/>
                <w:szCs w:val="21"/>
              </w:rPr>
            </w:pPr>
            <w:r>
              <w:rPr>
                <w:rFonts w:ascii="Arial" w:hAnsi="Arial" w:cs="Arial"/>
                <w:szCs w:val="21"/>
              </w:rPr>
              <w:sym w:font="Wingdings" w:char="F0A8"/>
            </w:r>
            <w:r>
              <w:rPr>
                <w:rFonts w:ascii="Arial" w:hAnsi="Arial" w:cs="Arial"/>
                <w:szCs w:val="21"/>
              </w:rPr>
              <w:t xml:space="preserve"> </w:t>
            </w:r>
            <w:r>
              <w:rPr>
                <w:rFonts w:ascii="Arial" w:hAnsi="Arial" w:cs="Arial"/>
                <w:color w:val="333333"/>
                <w:kern w:val="0"/>
                <w:szCs w:val="21"/>
              </w:rPr>
              <w:t>3.不在同一相关市场、也不存在上下游关系的参与集中的经营者，在与交易有关的每个市场所占的份额均小于25%。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before="312" w:beforeLines="100" w:after="312" w:afterLines="100"/>
              <w:jc w:val="center"/>
              <w:rPr>
                <w:rFonts w:ascii="Arial" w:hAnsi="Arial" w:cs="Arial"/>
                <w:color w:val="333333"/>
                <w:kern w:val="0"/>
                <w:szCs w:val="21"/>
              </w:rPr>
            </w:pPr>
          </w:p>
        </w:tc>
        <w:tc>
          <w:tcPr>
            <w:tcW w:w="6949" w:type="dxa"/>
            <w:gridSpan w:val="2"/>
          </w:tcPr>
          <w:p>
            <w:pPr>
              <w:spacing w:before="312" w:beforeLines="100" w:after="312" w:afterLines="100"/>
              <w:rPr>
                <w:rFonts w:ascii="Arial" w:hAnsi="Arial" w:cs="Arial"/>
                <w:color w:val="333333"/>
                <w:kern w:val="0"/>
                <w:szCs w:val="21"/>
              </w:rPr>
            </w:pPr>
            <w:r>
              <w:rPr>
                <w:rFonts w:ascii="Arial" w:hAnsi="Arial" w:cs="Arial"/>
                <w:szCs w:val="21"/>
              </w:rPr>
              <w:sym w:font="Wingdings" w:char="F0A8"/>
            </w:r>
            <w:r>
              <w:rPr>
                <w:rFonts w:ascii="Arial" w:hAnsi="Arial" w:cs="Arial"/>
                <w:szCs w:val="21"/>
              </w:rPr>
              <w:t xml:space="preserve"> </w:t>
            </w:r>
            <w:r>
              <w:rPr>
                <w:rFonts w:ascii="Arial" w:hAnsi="Arial" w:cs="Arial"/>
                <w:color w:val="333333"/>
                <w:kern w:val="0"/>
                <w:szCs w:val="21"/>
              </w:rPr>
              <w:t>4.参与集中的经营者在中国境外设立合营企业，合营企业不在中国境内从事经济活动。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before="312" w:beforeLines="100" w:after="312" w:afterLines="100"/>
              <w:jc w:val="center"/>
              <w:rPr>
                <w:rFonts w:ascii="Arial" w:hAnsi="Arial" w:cs="Arial"/>
                <w:color w:val="333333"/>
                <w:kern w:val="0"/>
                <w:szCs w:val="21"/>
              </w:rPr>
            </w:pPr>
          </w:p>
        </w:tc>
        <w:tc>
          <w:tcPr>
            <w:tcW w:w="6949" w:type="dxa"/>
            <w:gridSpan w:val="2"/>
          </w:tcPr>
          <w:p>
            <w:pPr>
              <w:spacing w:before="312" w:beforeLines="100" w:after="312" w:afterLines="100"/>
              <w:rPr>
                <w:rFonts w:ascii="Arial" w:hAnsi="Arial" w:cs="Arial"/>
                <w:color w:val="333333"/>
                <w:kern w:val="0"/>
                <w:szCs w:val="21"/>
              </w:rPr>
            </w:pPr>
            <w:r>
              <w:rPr>
                <w:rFonts w:ascii="Arial" w:hAnsi="Arial" w:cs="Arial"/>
                <w:szCs w:val="21"/>
              </w:rPr>
              <w:sym w:font="Wingdings" w:char="F0A8"/>
            </w:r>
            <w:r>
              <w:rPr>
                <w:rFonts w:ascii="Arial" w:hAnsi="Arial" w:cs="Arial"/>
                <w:szCs w:val="21"/>
              </w:rPr>
              <w:t xml:space="preserve"> </w:t>
            </w:r>
            <w:r>
              <w:rPr>
                <w:rFonts w:ascii="Arial" w:hAnsi="Arial" w:cs="Arial"/>
                <w:color w:val="333333"/>
                <w:kern w:val="0"/>
                <w:szCs w:val="21"/>
              </w:rPr>
              <w:t>5.参与集中的经营者收购境外企业股权或资产的，该境外企业不在中国境内从事经济活动。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before="312" w:beforeLines="100" w:after="312" w:afterLines="100"/>
              <w:jc w:val="center"/>
              <w:rPr>
                <w:rFonts w:ascii="Arial" w:hAnsi="Arial" w:cs="Arial"/>
                <w:color w:val="333333"/>
                <w:kern w:val="0"/>
                <w:szCs w:val="21"/>
              </w:rPr>
            </w:pPr>
          </w:p>
        </w:tc>
        <w:tc>
          <w:tcPr>
            <w:tcW w:w="6949" w:type="dxa"/>
            <w:gridSpan w:val="2"/>
          </w:tcPr>
          <w:p>
            <w:pPr>
              <w:spacing w:before="312" w:beforeLines="100" w:after="312" w:afterLines="100"/>
              <w:rPr>
                <w:rFonts w:ascii="Arial" w:hAnsi="Arial" w:cs="Arial"/>
                <w:color w:val="333333"/>
                <w:kern w:val="0"/>
                <w:szCs w:val="21"/>
              </w:rPr>
            </w:pPr>
            <w:r>
              <w:rPr>
                <w:rFonts w:ascii="Arial" w:hAnsi="Arial" w:cs="Arial"/>
                <w:szCs w:val="21"/>
              </w:rPr>
              <w:sym w:font="Wingdings" w:char="F0A8"/>
            </w:r>
            <w:r>
              <w:rPr>
                <w:rFonts w:ascii="Arial" w:hAnsi="Arial" w:cs="Arial"/>
                <w:szCs w:val="21"/>
              </w:rPr>
              <w:t xml:space="preserve"> </w:t>
            </w:r>
            <w:r>
              <w:rPr>
                <w:rFonts w:ascii="Arial" w:hAnsi="Arial" w:cs="Arial"/>
                <w:color w:val="333333"/>
                <w:kern w:val="0"/>
                <w:szCs w:val="21"/>
              </w:rPr>
              <w:t>6.由两个以上的经营者共同控制的合营企业，通过集中被其中一个或一个以上经营者控制。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  <w:vAlign w:val="center"/>
          </w:tcPr>
          <w:p>
            <w:pPr>
              <w:spacing w:before="312" w:beforeLines="100" w:after="312" w:afterLines="100"/>
              <w:jc w:val="center"/>
              <w:rPr>
                <w:rFonts w:ascii="Arial" w:hAnsi="Arial" w:cs="Arial"/>
                <w:color w:val="333333"/>
                <w:kern w:val="0"/>
                <w:szCs w:val="21"/>
              </w:rPr>
            </w:pPr>
            <w:r>
              <w:rPr>
                <w:rFonts w:ascii="Arial" w:hAnsi="Arial" w:cs="Arial"/>
                <w:color w:val="333333"/>
                <w:kern w:val="0"/>
                <w:szCs w:val="21"/>
              </w:rPr>
              <w:t>备注</w:t>
            </w:r>
          </w:p>
        </w:tc>
        <w:tc>
          <w:tcPr>
            <w:tcW w:w="6949" w:type="dxa"/>
            <w:gridSpan w:val="2"/>
          </w:tcPr>
          <w:p>
            <w:pPr>
              <w:spacing w:before="312" w:beforeLines="100" w:after="312" w:afterLines="100"/>
              <w:rPr>
                <w:rFonts w:ascii="Arial" w:hAnsi="Arial" w:cs="Arial"/>
                <w:color w:val="333333"/>
                <w:kern w:val="0"/>
                <w:szCs w:val="21"/>
              </w:rPr>
            </w:pPr>
            <w:r>
              <w:rPr>
                <w:rFonts w:ascii="Arial" w:hAnsi="Arial" w:cs="Arial"/>
                <w:color w:val="333333"/>
                <w:kern w:val="0"/>
                <w:szCs w:val="21"/>
              </w:rPr>
              <w:t>中国境内国际海上货物运输代理市场：</w:t>
            </w:r>
          </w:p>
          <w:p>
            <w:pPr>
              <w:pStyle w:val="4"/>
              <w:numPr>
                <w:ilvl w:val="0"/>
                <w:numId w:val="1"/>
              </w:numPr>
              <w:ind w:firstLineChars="0"/>
              <w:rPr>
                <w:rFonts w:ascii="Arial" w:hAnsi="Arial" w:cs="Arial"/>
                <w:color w:val="333333"/>
                <w:kern w:val="0"/>
                <w:szCs w:val="21"/>
              </w:rPr>
            </w:pPr>
            <w:r>
              <w:rPr>
                <w:rFonts w:ascii="Arial" w:hAnsi="Arial" w:cs="Arial"/>
                <w:color w:val="333333"/>
                <w:kern w:val="0"/>
                <w:szCs w:val="21"/>
              </w:rPr>
              <w:t>中集世联达：【0-5%】</w:t>
            </w:r>
          </w:p>
          <w:p>
            <w:pPr>
              <w:pStyle w:val="4"/>
              <w:numPr>
                <w:ilvl w:val="0"/>
                <w:numId w:val="1"/>
              </w:numPr>
              <w:ind w:firstLineChars="0"/>
              <w:rPr>
                <w:rFonts w:ascii="Arial" w:hAnsi="Arial" w:cs="Arial"/>
                <w:color w:val="333333"/>
                <w:kern w:val="0"/>
                <w:szCs w:val="21"/>
              </w:rPr>
            </w:pPr>
            <w:r>
              <w:rPr>
                <w:rFonts w:ascii="Arial" w:hAnsi="Arial" w:cs="Arial"/>
                <w:color w:val="333333"/>
                <w:kern w:val="0"/>
                <w:szCs w:val="21"/>
              </w:rPr>
              <w:t>上海德畅</w:t>
            </w:r>
            <w:r>
              <w:rPr>
                <w:rFonts w:hint="eastAsia" w:ascii="Arial" w:hAnsi="Arial" w:cs="Arial"/>
                <w:color w:val="333333"/>
                <w:kern w:val="0"/>
                <w:szCs w:val="21"/>
              </w:rPr>
              <w:t>：</w:t>
            </w:r>
            <w:r>
              <w:rPr>
                <w:rFonts w:ascii="Arial" w:hAnsi="Arial" w:cs="Arial"/>
                <w:color w:val="333333"/>
                <w:kern w:val="0"/>
                <w:szCs w:val="21"/>
              </w:rPr>
              <w:t>【0-5%】</w:t>
            </w:r>
          </w:p>
          <w:p>
            <w:pPr>
              <w:pStyle w:val="4"/>
              <w:numPr>
                <w:ilvl w:val="0"/>
                <w:numId w:val="1"/>
              </w:numPr>
              <w:ind w:firstLineChars="0"/>
              <w:rPr>
                <w:rFonts w:ascii="Arial" w:hAnsi="Arial" w:cs="Arial"/>
                <w:color w:val="333333"/>
                <w:kern w:val="0"/>
                <w:szCs w:val="21"/>
              </w:rPr>
            </w:pPr>
            <w:r>
              <w:rPr>
                <w:rFonts w:ascii="Arial" w:hAnsi="Arial" w:cs="Arial"/>
                <w:color w:val="333333"/>
                <w:kern w:val="0"/>
                <w:szCs w:val="21"/>
              </w:rPr>
              <w:t>上海适天：【0-5%】</w:t>
            </w:r>
          </w:p>
          <w:p>
            <w:pPr>
              <w:pStyle w:val="4"/>
              <w:numPr>
                <w:ilvl w:val="0"/>
                <w:numId w:val="1"/>
              </w:numPr>
              <w:spacing w:after="312" w:afterLines="100"/>
              <w:ind w:firstLineChars="0"/>
              <w:rPr>
                <w:rFonts w:ascii="Arial" w:hAnsi="Arial" w:cs="Arial"/>
                <w:color w:val="333333"/>
                <w:kern w:val="0"/>
                <w:szCs w:val="21"/>
              </w:rPr>
            </w:pPr>
            <w:r>
              <w:rPr>
                <w:rFonts w:ascii="Arial" w:hAnsi="Arial" w:cs="Arial"/>
                <w:color w:val="333333"/>
                <w:kern w:val="0"/>
                <w:szCs w:val="21"/>
              </w:rPr>
              <w:t>合计：【0-5%】</w:t>
            </w:r>
          </w:p>
        </w:tc>
      </w:tr>
    </w:tbl>
    <w:p>
      <w:pPr>
        <w:snapToGrid w:val="0"/>
        <w:spacing w:before="312" w:beforeLines="100" w:after="312" w:afterLines="100"/>
        <w:jc w:val="left"/>
        <w:rPr>
          <w:rFonts w:ascii="Arial" w:hAnsi="Arial" w:cs="Arial"/>
          <w:szCs w:val="21"/>
        </w:rPr>
      </w:pPr>
      <w:r>
        <w:rPr>
          <w:rFonts w:ascii="Arial" w:hAnsi="Arial" w:cs="Arial"/>
          <w:szCs w:val="21"/>
        </w:rPr>
        <w:t>注解：</w:t>
      </w:r>
    </w:p>
    <w:p>
      <w:pPr>
        <w:snapToGrid w:val="0"/>
        <w:spacing w:before="312" w:beforeLines="100" w:after="312" w:afterLines="100"/>
        <w:ind w:firstLine="420" w:firstLineChars="200"/>
        <w:jc w:val="left"/>
        <w:rPr>
          <w:rFonts w:ascii="Arial" w:hAnsi="Arial" w:cs="Arial"/>
          <w:szCs w:val="21"/>
        </w:rPr>
      </w:pPr>
      <w:r>
        <w:rPr>
          <w:rFonts w:ascii="Arial" w:hAnsi="Arial" w:cs="Arial"/>
          <w:szCs w:val="21"/>
        </w:rPr>
        <w:t>1.申报方申请简易案件的理由是基于1-3项时，须在备注中说明界定的相关商品市场和相关地域市场（无须阐述界定理由），以及相关市场份额；市场份额可以区间形式提供，区间幅度不应超过5%。1-3项可以多选，也可单选；没有勾选的，视为本集中不涉及该类型交易。</w:t>
      </w:r>
    </w:p>
    <w:p>
      <w:pPr>
        <w:spacing w:before="312" w:beforeLines="100" w:after="312" w:afterLines="100"/>
        <w:ind w:firstLine="420" w:firstLineChars="200"/>
        <w:rPr>
          <w:rFonts w:ascii="Arial" w:hAnsi="Arial" w:cs="Arial"/>
          <w:szCs w:val="21"/>
        </w:rPr>
      </w:pPr>
      <w:r>
        <w:rPr>
          <w:rFonts w:ascii="Arial" w:hAnsi="Arial" w:cs="Arial"/>
          <w:szCs w:val="21"/>
        </w:rPr>
        <w:t>2.申报方申请简易案件的理由是基于第4项、第5项时，无须在备注中说明相关市场和市场份额。</w:t>
      </w:r>
    </w:p>
    <w:p>
      <w:pPr>
        <w:spacing w:before="312" w:beforeLines="100" w:after="312" w:afterLines="100"/>
        <w:ind w:firstLine="420" w:firstLineChars="200"/>
        <w:rPr>
          <w:rFonts w:ascii="Arial" w:hAnsi="Arial" w:cs="Arial"/>
          <w:szCs w:val="21"/>
        </w:rPr>
      </w:pPr>
      <w:r>
        <w:rPr>
          <w:rFonts w:ascii="Arial" w:hAnsi="Arial" w:cs="Arial"/>
          <w:szCs w:val="21"/>
        </w:rPr>
        <w:t>3.由两个或两个以上经营者共同控制的合营企业，通过集中被其中的一个经营者控制，如果该经营者与合营企业属于同一相关市场的竞争者，则申报方在申请简易案件时，须同时勾选第1项和第6项理由，并在备注中说明界定的相关商品市场和相关地域市场（无须阐述界定理由），以及相关市场份额。市场份额可以区间形式提供，区间幅度不应超过5%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Wingdings">
    <w:panose1 w:val="05000000000000000000"/>
    <w:charset w:val="4D"/>
    <w:family w:val="decorative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FE55110"/>
    <w:multiLevelType w:val="multilevel"/>
    <w:tmpl w:val="7FE55110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bordersDoNotSurroundHeader w:val="1"/>
  <w:bordersDoNotSurroundFooter w:val="1"/>
  <w:trackRevisions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00DF"/>
    <w:rsid w:val="00001741"/>
    <w:rsid w:val="00037065"/>
    <w:rsid w:val="000A4B2F"/>
    <w:rsid w:val="000C45F4"/>
    <w:rsid w:val="000D5982"/>
    <w:rsid w:val="000D7EBA"/>
    <w:rsid w:val="000F3018"/>
    <w:rsid w:val="001164CD"/>
    <w:rsid w:val="00155717"/>
    <w:rsid w:val="001837A3"/>
    <w:rsid w:val="00187721"/>
    <w:rsid w:val="001C7F3D"/>
    <w:rsid w:val="001D4BDC"/>
    <w:rsid w:val="00225FEA"/>
    <w:rsid w:val="00304156"/>
    <w:rsid w:val="003162D4"/>
    <w:rsid w:val="003C0AEB"/>
    <w:rsid w:val="003E2D59"/>
    <w:rsid w:val="0041090F"/>
    <w:rsid w:val="00437AE6"/>
    <w:rsid w:val="004471A0"/>
    <w:rsid w:val="0046456A"/>
    <w:rsid w:val="004A1F16"/>
    <w:rsid w:val="004F7688"/>
    <w:rsid w:val="00587651"/>
    <w:rsid w:val="005A3C56"/>
    <w:rsid w:val="006467D8"/>
    <w:rsid w:val="006A531B"/>
    <w:rsid w:val="006B267A"/>
    <w:rsid w:val="006F7693"/>
    <w:rsid w:val="00710140"/>
    <w:rsid w:val="0076187A"/>
    <w:rsid w:val="00784209"/>
    <w:rsid w:val="007E5C52"/>
    <w:rsid w:val="007F2275"/>
    <w:rsid w:val="008A0176"/>
    <w:rsid w:val="00915F0F"/>
    <w:rsid w:val="00925A01"/>
    <w:rsid w:val="009532DF"/>
    <w:rsid w:val="00997019"/>
    <w:rsid w:val="009A5029"/>
    <w:rsid w:val="009D38D5"/>
    <w:rsid w:val="00A53F26"/>
    <w:rsid w:val="00A61A1E"/>
    <w:rsid w:val="00AA0CC5"/>
    <w:rsid w:val="00AB4981"/>
    <w:rsid w:val="00B16AFE"/>
    <w:rsid w:val="00B65DD5"/>
    <w:rsid w:val="00BB51B4"/>
    <w:rsid w:val="00BD10B6"/>
    <w:rsid w:val="00C07076"/>
    <w:rsid w:val="00C1298F"/>
    <w:rsid w:val="00CB00DF"/>
    <w:rsid w:val="00CD6AEC"/>
    <w:rsid w:val="00D573C0"/>
    <w:rsid w:val="00D64F20"/>
    <w:rsid w:val="00D73C72"/>
    <w:rsid w:val="00E0592B"/>
    <w:rsid w:val="00E10421"/>
    <w:rsid w:val="00E31738"/>
    <w:rsid w:val="00E3737F"/>
    <w:rsid w:val="00E54DC0"/>
    <w:rsid w:val="00E67069"/>
    <w:rsid w:val="00E86786"/>
    <w:rsid w:val="00ED2F80"/>
    <w:rsid w:val="00F1624E"/>
    <w:rsid w:val="00F32F8A"/>
    <w:rsid w:val="00F412CD"/>
    <w:rsid w:val="00F65D5B"/>
    <w:rsid w:val="00F810AA"/>
    <w:rsid w:val="00FB43EC"/>
    <w:rsid w:val="00FB6B40"/>
    <w:rsid w:val="00FD6A9C"/>
    <w:rsid w:val="0D89176C"/>
    <w:rsid w:val="4B7A4134"/>
    <w:rsid w:val="4CFC205B"/>
    <w:rsid w:val="5712584C"/>
    <w:rsid w:val="5AC24D04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  <w:style w:type="paragraph" w:customStyle="1" w:styleId="5">
    <w:name w:val="修订1"/>
    <w:hidden/>
    <w:semiHidden/>
    <w:qFormat/>
    <w:uiPriority w:val="99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212</Words>
  <Characters>1213</Characters>
  <Lines>10</Lines>
  <Paragraphs>2</Paragraphs>
  <TotalTime>20</TotalTime>
  <ScaleCrop>false</ScaleCrop>
  <LinksUpToDate>false</LinksUpToDate>
  <CharactersWithSpaces>1423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2018-09-29T02:33:00Z</dcterms:created>
  <dc:creator>陈媚</dc:creator>
  <cp:lastModifiedBy>TY</cp:lastModifiedBy>
  <dcterms:modified xsi:type="dcterms:W3CDTF">2022-03-17T05:32:21Z</dcterms:modified>
  <cp:revision>30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AC185A864E8042E1BCC85BF6E27DC40F</vt:lpwstr>
  </property>
</Properties>
</file>