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napToGrid w:val="0"/>
        <w:spacing w:after="120"/>
        <w:jc w:val="center"/>
        <w:rPr>
          <w:rFonts w:ascii="Times New Roman" w:eastAsia="华文楷体" w:hAnsi="Times New Roman"/>
          <w:b/>
          <w:bCs/>
          <w:sz w:val="24"/>
          <w:szCs w:val="24"/>
        </w:rPr>
      </w:pPr>
      <w:r>
        <w:rPr>
          <w:rFonts w:ascii="Times New Roman" w:eastAsia="华文楷体" w:hAnsi="Times New Roman"/>
          <w:b/>
          <w:bCs/>
          <w:sz w:val="24"/>
          <w:szCs w:val="24"/>
        </w:rPr>
        <w:t>经营者集中简易案件公示表</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9"/>
        <w:gridCol w:w="1447"/>
        <w:gridCol w:w="5502"/>
      </w:tblGrid>
      <w:tr>
        <w:tc>
          <w:tcPr>
            <w:tcW w:w="1809" w:type="dxa"/>
            <w:shd w:val="clear" w:color="auto" w:fill="D9D9D9"/>
            <w:vAlign w:val="center"/>
          </w:tcPr>
          <w:p>
            <w:pPr>
              <w:snapToGrid w:val="0"/>
              <w:spacing w:after="120"/>
              <w:jc w:val="center"/>
              <w:rPr>
                <w:rFonts w:ascii="Times New Roman" w:eastAsia="华文楷体" w:hAnsi="Times New Roman"/>
                <w:kern w:val="0"/>
                <w:sz w:val="24"/>
                <w:szCs w:val="24"/>
              </w:rPr>
            </w:pPr>
            <w:r>
              <w:rPr>
                <w:rFonts w:ascii="Times New Roman" w:eastAsia="华文楷体" w:hAnsi="Times New Roman"/>
                <w:kern w:val="0"/>
                <w:sz w:val="24"/>
                <w:szCs w:val="24"/>
              </w:rPr>
              <w:t>案件名称</w:t>
            </w:r>
          </w:p>
        </w:tc>
        <w:tc>
          <w:tcPr>
            <w:tcW w:w="6949" w:type="dxa"/>
            <w:gridSpan w:val="2"/>
            <w:shd w:val="clear" w:color="auto" w:fill="auto"/>
            <w:vAlign w:val="center"/>
          </w:tcPr>
          <w:p>
            <w:pPr>
              <w:snapToGrid w:val="0"/>
              <w:spacing w:after="120"/>
              <w:rPr>
                <w:rFonts w:ascii="Times New Roman" w:eastAsia="华文楷体" w:hAnsi="Times New Roman"/>
                <w:kern w:val="0"/>
                <w:sz w:val="24"/>
                <w:szCs w:val="24"/>
              </w:rPr>
            </w:pPr>
            <w:r>
              <w:rPr>
                <w:rFonts w:ascii="Times New Roman" w:eastAsia="华文楷体" w:hAnsi="Times New Roman"/>
                <w:sz w:val="24"/>
                <w:szCs w:val="24"/>
              </w:rPr>
              <w:t>大陆汽车控股荷兰</w:t>
            </w:r>
            <w:r>
              <w:rPr>
                <w:rFonts w:ascii="Times New Roman" w:eastAsia="华文楷体" w:hAnsi="Times New Roman" w:hint="eastAsia"/>
                <w:sz w:val="24"/>
                <w:szCs w:val="24"/>
              </w:rPr>
              <w:t>有限</w:t>
            </w:r>
            <w:r>
              <w:rPr>
                <w:rFonts w:ascii="Times New Roman" w:eastAsia="华文楷体" w:hAnsi="Times New Roman"/>
                <w:sz w:val="24"/>
                <w:szCs w:val="24"/>
              </w:rPr>
              <w:t>公司</w:t>
            </w:r>
            <w:r>
              <w:rPr>
                <w:rFonts w:ascii="Times New Roman" w:eastAsia="华文楷体" w:hAnsi="Times New Roman" w:hint="eastAsia"/>
                <w:sz w:val="24"/>
                <w:szCs w:val="24"/>
              </w:rPr>
              <w:t>与</w:t>
            </w:r>
            <w:proofErr w:type="gramStart"/>
            <w:r>
              <w:rPr>
                <w:rFonts w:ascii="Times New Roman" w:eastAsia="华文楷体" w:hAnsi="Times New Roman"/>
                <w:sz w:val="24"/>
                <w:szCs w:val="24"/>
              </w:rPr>
              <w:t>日清纺控股</w:t>
            </w:r>
            <w:proofErr w:type="gramEnd"/>
            <w:r>
              <w:rPr>
                <w:rFonts w:ascii="Times New Roman" w:eastAsia="华文楷体" w:hAnsi="Times New Roman" w:hint="eastAsia"/>
                <w:sz w:val="24"/>
                <w:szCs w:val="24"/>
              </w:rPr>
              <w:t>株式会社新设</w:t>
            </w:r>
            <w:r>
              <w:rPr>
                <w:rFonts w:ascii="Times New Roman" w:eastAsia="华文楷体" w:hAnsi="Times New Roman"/>
                <w:sz w:val="24"/>
                <w:szCs w:val="24"/>
              </w:rPr>
              <w:t>合营企业</w:t>
            </w:r>
            <w:r>
              <w:rPr>
                <w:rFonts w:ascii="Times New Roman" w:eastAsia="华文楷体" w:hAnsi="Times New Roman"/>
                <w:sz w:val="24"/>
                <w:szCs w:val="24"/>
                <w:lang w:val="en-GB"/>
              </w:rPr>
              <w:t>案</w:t>
            </w:r>
          </w:p>
        </w:tc>
      </w:tr>
      <w:tr>
        <w:trPr>
          <w:trHeight w:val="993"/>
        </w:trPr>
        <w:tc>
          <w:tcPr>
            <w:tcW w:w="1809" w:type="dxa"/>
            <w:shd w:val="clear" w:color="auto" w:fill="D9D9D9"/>
            <w:vAlign w:val="center"/>
          </w:tcPr>
          <w:p>
            <w:pPr>
              <w:snapToGrid w:val="0"/>
              <w:spacing w:after="120"/>
              <w:jc w:val="center"/>
              <w:rPr>
                <w:rFonts w:ascii="Times New Roman" w:eastAsia="华文楷体" w:hAnsi="Times New Roman"/>
                <w:kern w:val="0"/>
                <w:sz w:val="24"/>
                <w:szCs w:val="24"/>
              </w:rPr>
            </w:pPr>
            <w:r>
              <w:rPr>
                <w:rFonts w:ascii="Times New Roman" w:eastAsia="华文楷体" w:hAnsi="Times New Roman"/>
                <w:kern w:val="0"/>
                <w:sz w:val="24"/>
                <w:szCs w:val="24"/>
              </w:rPr>
              <w:t>交易概况</w:t>
            </w:r>
          </w:p>
          <w:p>
            <w:pPr>
              <w:snapToGrid w:val="0"/>
              <w:spacing w:after="120"/>
              <w:jc w:val="center"/>
              <w:rPr>
                <w:rFonts w:ascii="Times New Roman" w:eastAsia="华文楷体" w:hAnsi="Times New Roman"/>
                <w:kern w:val="0"/>
                <w:sz w:val="24"/>
                <w:szCs w:val="24"/>
              </w:rPr>
            </w:pPr>
            <w:r>
              <w:rPr>
                <w:rFonts w:ascii="Times New Roman" w:eastAsia="华文楷体" w:hAnsi="Times New Roman"/>
                <w:kern w:val="0"/>
                <w:sz w:val="24"/>
                <w:szCs w:val="24"/>
              </w:rPr>
              <w:t>（限</w:t>
            </w:r>
            <w:r>
              <w:rPr>
                <w:rFonts w:ascii="Times New Roman" w:eastAsia="华文楷体" w:hAnsi="Times New Roman"/>
                <w:kern w:val="0"/>
                <w:sz w:val="24"/>
                <w:szCs w:val="24"/>
              </w:rPr>
              <w:t>200</w:t>
            </w:r>
            <w:r>
              <w:rPr>
                <w:rFonts w:ascii="Times New Roman" w:eastAsia="华文楷体" w:hAnsi="Times New Roman"/>
                <w:kern w:val="0"/>
                <w:sz w:val="24"/>
                <w:szCs w:val="24"/>
              </w:rPr>
              <w:t>字内）</w:t>
            </w:r>
          </w:p>
        </w:tc>
        <w:tc>
          <w:tcPr>
            <w:tcW w:w="6949" w:type="dxa"/>
            <w:gridSpan w:val="2"/>
          </w:tcPr>
          <w:p>
            <w:pPr>
              <w:snapToGrid w:val="0"/>
              <w:spacing w:after="120"/>
              <w:rPr>
                <w:rFonts w:ascii="华文楷体" w:eastAsia="华文楷体" w:hAnsi="华文楷体"/>
                <w:kern w:val="0"/>
                <w:sz w:val="24"/>
                <w:szCs w:val="24"/>
              </w:rPr>
            </w:pPr>
            <w:r>
              <w:rPr>
                <w:rFonts w:ascii="华文楷体" w:eastAsia="华文楷体" w:hAnsi="华文楷体"/>
                <w:sz w:val="24"/>
                <w:szCs w:val="24"/>
                <w:lang w:val="en-GB"/>
              </w:rPr>
              <w:t>本交易涉及大陆汽车控股荷兰</w:t>
            </w:r>
            <w:r>
              <w:rPr>
                <w:rFonts w:ascii="华文楷体" w:eastAsia="华文楷体" w:hAnsi="华文楷体" w:hint="eastAsia"/>
                <w:sz w:val="24"/>
                <w:szCs w:val="24"/>
                <w:lang w:val="en-GB"/>
              </w:rPr>
              <w:t>有限</w:t>
            </w:r>
            <w:r>
              <w:rPr>
                <w:rFonts w:ascii="华文楷体" w:eastAsia="华文楷体" w:hAnsi="华文楷体"/>
                <w:sz w:val="24"/>
                <w:szCs w:val="24"/>
                <w:lang w:val="en-GB"/>
              </w:rPr>
              <w:t>公司（</w:t>
            </w:r>
            <w:r>
              <w:rPr>
                <w:rFonts w:ascii="华文楷体" w:eastAsia="华文楷体" w:hAnsi="华文楷体" w:hint="eastAsia"/>
                <w:sz w:val="24"/>
                <w:szCs w:val="24"/>
                <w:lang w:val="en-GB"/>
              </w:rPr>
              <w:t>“</w:t>
            </w:r>
            <w:r>
              <w:rPr>
                <w:rFonts w:ascii="华文楷体" w:eastAsia="华文楷体" w:hAnsi="华文楷体" w:hint="eastAsia"/>
                <w:b/>
                <w:bCs/>
                <w:sz w:val="24"/>
                <w:szCs w:val="24"/>
                <w:lang w:val="en-GB"/>
              </w:rPr>
              <w:t>大陆汽车控股</w:t>
            </w:r>
            <w:r>
              <w:rPr>
                <w:rFonts w:ascii="华文楷体" w:eastAsia="华文楷体" w:hAnsi="华文楷体" w:hint="eastAsia"/>
                <w:sz w:val="24"/>
                <w:szCs w:val="24"/>
                <w:lang w:val="en-GB"/>
              </w:rPr>
              <w:t>”</w:t>
            </w:r>
            <w:r>
              <w:rPr>
                <w:rFonts w:ascii="华文楷体" w:eastAsia="华文楷体" w:hAnsi="华文楷体"/>
                <w:sz w:val="24"/>
                <w:szCs w:val="24"/>
                <w:lang w:val="en-GB"/>
              </w:rPr>
              <w:t>）</w:t>
            </w:r>
            <w:r>
              <w:rPr>
                <w:rFonts w:ascii="华文楷体" w:eastAsia="华文楷体" w:hAnsi="华文楷体" w:hint="eastAsia"/>
                <w:sz w:val="24"/>
                <w:szCs w:val="24"/>
              </w:rPr>
              <w:t>和</w:t>
            </w:r>
            <w:proofErr w:type="gramStart"/>
            <w:r>
              <w:rPr>
                <w:rFonts w:ascii="华文楷体" w:eastAsia="华文楷体" w:hAnsi="华文楷体"/>
                <w:sz w:val="24"/>
                <w:szCs w:val="24"/>
                <w:lang w:val="en-GB"/>
              </w:rPr>
              <w:t>日清纺控股</w:t>
            </w:r>
            <w:proofErr w:type="gramEnd"/>
            <w:r>
              <w:rPr>
                <w:rFonts w:ascii="华文楷体" w:eastAsia="华文楷体" w:hAnsi="华文楷体" w:hint="eastAsia"/>
                <w:sz w:val="24"/>
                <w:szCs w:val="24"/>
                <w:lang w:val="en-GB"/>
              </w:rPr>
              <w:t>株式会社</w:t>
            </w:r>
            <w:r>
              <w:rPr>
                <w:rFonts w:ascii="华文楷体" w:eastAsia="华文楷体" w:hAnsi="华文楷体"/>
                <w:sz w:val="24"/>
                <w:szCs w:val="24"/>
                <w:lang w:val="en-GB"/>
              </w:rPr>
              <w:t>（</w:t>
            </w:r>
            <w:r>
              <w:rPr>
                <w:rFonts w:ascii="华文楷体" w:eastAsia="华文楷体" w:hAnsi="华文楷体" w:hint="eastAsia"/>
                <w:sz w:val="24"/>
                <w:szCs w:val="24"/>
                <w:lang w:val="en-GB"/>
              </w:rPr>
              <w:t>“</w:t>
            </w:r>
            <w:r>
              <w:rPr>
                <w:rFonts w:ascii="华文楷体" w:eastAsia="华文楷体" w:hAnsi="华文楷体" w:hint="eastAsia"/>
                <w:b/>
                <w:bCs/>
                <w:sz w:val="24"/>
                <w:szCs w:val="24"/>
                <w:lang w:val="en-GB"/>
              </w:rPr>
              <w:t>日清纺</w:t>
            </w:r>
            <w:r>
              <w:rPr>
                <w:rFonts w:ascii="华文楷体" w:eastAsia="华文楷体" w:hAnsi="华文楷体" w:hint="eastAsia"/>
                <w:sz w:val="24"/>
                <w:szCs w:val="24"/>
                <w:lang w:val="en-GB"/>
              </w:rPr>
              <w:t>”）在印度设立合营企业事宜</w:t>
            </w:r>
            <w:r>
              <w:rPr>
                <w:rFonts w:ascii="华文楷体" w:eastAsia="华文楷体" w:hAnsi="华文楷体" w:hint="eastAsia"/>
                <w:sz w:val="24"/>
                <w:szCs w:val="24"/>
              </w:rPr>
              <w:t>。合营企业的主要业务为开发、生产并销售用于电子制动系统的阀块。根据《合营企业协议》，该合营企业将仅在印度开展业务且仅向大陆集团的印度关联公司供应阀块。</w:t>
            </w:r>
          </w:p>
        </w:tc>
      </w:tr>
      <w:tr>
        <w:trPr>
          <w:trHeight w:val="468"/>
        </w:trPr>
        <w:tc>
          <w:tcPr>
            <w:tcW w:w="1809" w:type="dxa"/>
            <w:vMerge w:val="restart"/>
            <w:shd w:val="clear" w:color="auto" w:fill="D9D9D9"/>
            <w:vAlign w:val="center"/>
          </w:tcPr>
          <w:p>
            <w:pPr>
              <w:snapToGrid w:val="0"/>
              <w:spacing w:after="120"/>
              <w:jc w:val="center"/>
              <w:rPr>
                <w:rFonts w:ascii="Times New Roman" w:eastAsia="华文楷体" w:hAnsi="Times New Roman"/>
                <w:kern w:val="0"/>
                <w:sz w:val="24"/>
                <w:szCs w:val="24"/>
              </w:rPr>
            </w:pPr>
            <w:r>
              <w:rPr>
                <w:rFonts w:ascii="Times New Roman" w:eastAsia="华文楷体" w:hAnsi="Times New Roman"/>
                <w:kern w:val="0"/>
                <w:sz w:val="24"/>
                <w:szCs w:val="24"/>
              </w:rPr>
              <w:t>参与集中的</w:t>
            </w:r>
          </w:p>
          <w:p>
            <w:pPr>
              <w:snapToGrid w:val="0"/>
              <w:spacing w:after="120"/>
              <w:jc w:val="center"/>
              <w:rPr>
                <w:rFonts w:ascii="Times New Roman" w:eastAsia="华文楷体" w:hAnsi="Times New Roman"/>
                <w:kern w:val="0"/>
                <w:sz w:val="24"/>
                <w:szCs w:val="24"/>
              </w:rPr>
            </w:pPr>
            <w:r>
              <w:rPr>
                <w:rFonts w:ascii="Times New Roman" w:eastAsia="华文楷体" w:hAnsi="Times New Roman"/>
                <w:kern w:val="0"/>
                <w:sz w:val="24"/>
                <w:szCs w:val="24"/>
              </w:rPr>
              <w:t>经营者简介</w:t>
            </w:r>
          </w:p>
        </w:tc>
        <w:tc>
          <w:tcPr>
            <w:tcW w:w="1447" w:type="dxa"/>
          </w:tcPr>
          <w:p>
            <w:pPr>
              <w:snapToGrid w:val="0"/>
              <w:spacing w:after="120"/>
              <w:jc w:val="left"/>
              <w:rPr>
                <w:rFonts w:ascii="Times New Roman" w:eastAsia="华文楷体" w:hAnsi="Times New Roman"/>
                <w:kern w:val="0"/>
                <w:sz w:val="24"/>
                <w:szCs w:val="24"/>
              </w:rPr>
            </w:pPr>
            <w:r>
              <w:rPr>
                <w:rFonts w:ascii="Times New Roman" w:eastAsia="仿宋_GB2312" w:hAnsi="Times New Roman"/>
                <w:sz w:val="24"/>
                <w:szCs w:val="24"/>
              </w:rPr>
              <w:t xml:space="preserve">1. </w:t>
            </w:r>
            <w:r>
              <w:rPr>
                <w:rFonts w:ascii="Times New Roman" w:eastAsia="华文楷体" w:hAnsi="Times New Roman" w:hint="eastAsia"/>
                <w:kern w:val="0"/>
                <w:sz w:val="24"/>
                <w:szCs w:val="24"/>
              </w:rPr>
              <w:t>大陆汽车控股</w:t>
            </w:r>
          </w:p>
        </w:tc>
        <w:tc>
          <w:tcPr>
            <w:tcW w:w="5502" w:type="dxa"/>
            <w:vAlign w:val="center"/>
          </w:tcPr>
          <w:p>
            <w:pPr>
              <w:snapToGrid w:val="0"/>
              <w:spacing w:after="120"/>
              <w:rPr>
                <w:rFonts w:ascii="Times New Roman" w:eastAsia="华文楷体" w:hAnsi="Times New Roman"/>
                <w:kern w:val="0"/>
                <w:sz w:val="24"/>
                <w:szCs w:val="24"/>
              </w:rPr>
            </w:pPr>
            <w:r>
              <w:rPr>
                <w:rFonts w:ascii="Times New Roman" w:eastAsia="华文楷体" w:hAnsi="Times New Roman" w:hint="eastAsia"/>
                <w:sz w:val="24"/>
                <w:szCs w:val="24"/>
              </w:rPr>
              <w:t>大</w:t>
            </w:r>
            <w:r>
              <w:rPr>
                <w:rFonts w:ascii="华文楷体" w:eastAsia="华文楷体" w:hAnsi="华文楷体" w:hint="eastAsia"/>
                <w:sz w:val="24"/>
                <w:szCs w:val="24"/>
              </w:rPr>
              <w:t>陆汽车控股是大陆集团（大陆集团与其关联企业合称“</w:t>
            </w:r>
            <w:r>
              <w:rPr>
                <w:rFonts w:ascii="华文楷体" w:eastAsia="华文楷体" w:hAnsi="华文楷体" w:hint="eastAsia"/>
                <w:b/>
                <w:bCs/>
                <w:sz w:val="24"/>
                <w:szCs w:val="24"/>
              </w:rPr>
              <w:t>大陆集团</w:t>
            </w:r>
            <w:r>
              <w:rPr>
                <w:rFonts w:ascii="华文楷体" w:eastAsia="华文楷体" w:hAnsi="华文楷体" w:hint="eastAsia"/>
                <w:sz w:val="24"/>
                <w:szCs w:val="24"/>
              </w:rPr>
              <w:t>”）的全资子公司。大陆集团是一家全球性汽车零部件供应商，</w:t>
            </w:r>
            <w:r>
              <w:rPr>
                <w:rFonts w:ascii="华文楷体" w:eastAsia="华文楷体" w:hAnsi="华文楷体" w:hint="eastAsia"/>
                <w:sz w:val="24"/>
                <w:szCs w:val="24"/>
                <w:lang w:val="en-GB"/>
              </w:rPr>
              <w:t>为车辆、机械、交通和运输提供安全、高效、智能和价格合理的解决方案。大陆集团由汽车、轮胎和康迪泰克三个子集团组成。</w:t>
            </w:r>
          </w:p>
        </w:tc>
      </w:tr>
      <w:tr>
        <w:trPr>
          <w:trHeight w:val="404"/>
        </w:trPr>
        <w:tc>
          <w:tcPr>
            <w:tcW w:w="1809" w:type="dxa"/>
            <w:vMerge/>
            <w:shd w:val="clear" w:color="auto" w:fill="D9D9D9"/>
            <w:vAlign w:val="center"/>
          </w:tcPr>
          <w:p>
            <w:pPr>
              <w:snapToGrid w:val="0"/>
              <w:spacing w:after="120"/>
              <w:jc w:val="center"/>
              <w:rPr>
                <w:rFonts w:ascii="Times New Roman" w:eastAsia="华文楷体" w:hAnsi="Times New Roman"/>
                <w:kern w:val="0"/>
                <w:sz w:val="24"/>
                <w:szCs w:val="24"/>
              </w:rPr>
            </w:pPr>
          </w:p>
        </w:tc>
        <w:tc>
          <w:tcPr>
            <w:tcW w:w="1447" w:type="dxa"/>
          </w:tcPr>
          <w:p>
            <w:pPr>
              <w:snapToGrid w:val="0"/>
              <w:spacing w:after="120"/>
              <w:rPr>
                <w:rFonts w:ascii="Times New Roman" w:eastAsia="华文楷体" w:hAnsi="Times New Roman"/>
                <w:kern w:val="0"/>
                <w:sz w:val="24"/>
                <w:szCs w:val="24"/>
              </w:rPr>
            </w:pPr>
            <w:r>
              <w:rPr>
                <w:rFonts w:ascii="Times New Roman" w:eastAsia="仿宋_GB2312" w:hAnsi="Times New Roman"/>
                <w:sz w:val="24"/>
                <w:szCs w:val="24"/>
              </w:rPr>
              <w:t xml:space="preserve">2. </w:t>
            </w:r>
            <w:proofErr w:type="gramStart"/>
            <w:r>
              <w:rPr>
                <w:rFonts w:ascii="Times New Roman" w:eastAsia="华文楷体" w:hAnsi="Times New Roman" w:hint="eastAsia"/>
                <w:sz w:val="24"/>
                <w:szCs w:val="24"/>
              </w:rPr>
              <w:t>日清纺</w:t>
            </w:r>
            <w:proofErr w:type="gramEnd"/>
          </w:p>
        </w:tc>
        <w:tc>
          <w:tcPr>
            <w:tcW w:w="5502" w:type="dxa"/>
          </w:tcPr>
          <w:p>
            <w:pPr>
              <w:snapToGrid w:val="0"/>
              <w:spacing w:after="120"/>
              <w:rPr>
                <w:rFonts w:ascii="华文楷体" w:eastAsia="华文楷体" w:hAnsi="华文楷体"/>
                <w:sz w:val="24"/>
                <w:szCs w:val="24"/>
                <w:lang w:val="en-GB"/>
              </w:rPr>
            </w:pPr>
            <w:r>
              <w:rPr>
                <w:rFonts w:ascii="华文楷体" w:eastAsia="华文楷体" w:hAnsi="华文楷体" w:hint="eastAsia"/>
                <w:sz w:val="24"/>
                <w:szCs w:val="24"/>
                <w:lang w:val="en-GB"/>
              </w:rPr>
              <w:t>日</w:t>
            </w:r>
            <w:proofErr w:type="gramStart"/>
            <w:r>
              <w:rPr>
                <w:rFonts w:ascii="华文楷体" w:eastAsia="华文楷体" w:hAnsi="华文楷体" w:hint="eastAsia"/>
                <w:sz w:val="24"/>
                <w:szCs w:val="24"/>
                <w:lang w:val="en-GB"/>
              </w:rPr>
              <w:t>清纺从事</w:t>
            </w:r>
            <w:proofErr w:type="gramEnd"/>
            <w:r>
              <w:rPr>
                <w:rFonts w:ascii="华文楷体" w:eastAsia="华文楷体" w:hAnsi="华文楷体" w:hint="eastAsia"/>
                <w:sz w:val="24"/>
                <w:szCs w:val="24"/>
                <w:lang w:val="en-GB"/>
              </w:rPr>
              <w:t>电子、汽车制动摩擦材料、精密仪器、化工、纺织和房地产业</w:t>
            </w:r>
            <w:proofErr w:type="gramStart"/>
            <w:r>
              <w:rPr>
                <w:rFonts w:ascii="华文楷体" w:eastAsia="华文楷体" w:hAnsi="华文楷体" w:hint="eastAsia"/>
                <w:sz w:val="24"/>
                <w:szCs w:val="24"/>
                <w:lang w:val="en-GB"/>
              </w:rPr>
              <w:t>务</w:t>
            </w:r>
            <w:proofErr w:type="gramEnd"/>
            <w:r>
              <w:rPr>
                <w:rFonts w:ascii="华文楷体" w:eastAsia="华文楷体" w:hAnsi="华文楷体" w:hint="eastAsia"/>
                <w:sz w:val="24"/>
                <w:szCs w:val="24"/>
                <w:lang w:val="en-GB"/>
              </w:rPr>
              <w:t>，其三大战略业务领域为出行、基础设施和安全以及生命和医疗保健。</w:t>
            </w:r>
          </w:p>
        </w:tc>
      </w:tr>
      <w:tr>
        <w:trPr>
          <w:trHeight w:val="279"/>
        </w:trPr>
        <w:tc>
          <w:tcPr>
            <w:tcW w:w="1809" w:type="dxa"/>
            <w:vMerge w:val="restart"/>
            <w:shd w:val="clear" w:color="auto" w:fill="D9D9D9"/>
            <w:vAlign w:val="center"/>
          </w:tcPr>
          <w:p>
            <w:pPr>
              <w:snapToGrid w:val="0"/>
              <w:spacing w:after="120"/>
              <w:jc w:val="center"/>
              <w:rPr>
                <w:rFonts w:ascii="Times New Roman" w:eastAsia="华文楷体" w:hAnsi="Times New Roman"/>
                <w:kern w:val="0"/>
                <w:sz w:val="24"/>
                <w:szCs w:val="24"/>
              </w:rPr>
            </w:pPr>
            <w:r>
              <w:rPr>
                <w:rFonts w:ascii="Times New Roman" w:eastAsia="华文楷体" w:hAnsi="Times New Roman"/>
                <w:kern w:val="0"/>
                <w:sz w:val="24"/>
                <w:szCs w:val="24"/>
              </w:rPr>
              <w:t>简易案件理由（可以单选，也可以多选）</w:t>
            </w:r>
          </w:p>
        </w:tc>
        <w:tc>
          <w:tcPr>
            <w:tcW w:w="6949" w:type="dxa"/>
            <w:gridSpan w:val="2"/>
            <w:vAlign w:val="center"/>
          </w:tcPr>
          <w:p>
            <w:pPr>
              <w:snapToGrid w:val="0"/>
              <w:spacing w:after="120"/>
              <w:rPr>
                <w:rFonts w:ascii="Times New Roman" w:eastAsia="华文楷体" w:hAnsi="Times New Roman"/>
                <w:kern w:val="0"/>
                <w:sz w:val="24"/>
                <w:szCs w:val="24"/>
              </w:rPr>
            </w:pPr>
            <w:r>
              <w:rPr>
                <w:rFonts w:ascii="Times New Roman" w:eastAsia="华文楷体" w:hAnsi="Times New Roman"/>
                <w:kern w:val="0"/>
                <w:sz w:val="24"/>
                <w:szCs w:val="24"/>
              </w:rPr>
              <w:sym w:font="Wingdings" w:char="F0A8"/>
            </w:r>
            <w:r>
              <w:rPr>
                <w:rFonts w:ascii="Times New Roman" w:eastAsia="华文楷体" w:hAnsi="Times New Roman"/>
                <w:kern w:val="0"/>
                <w:sz w:val="24"/>
                <w:szCs w:val="24"/>
              </w:rPr>
              <w:t xml:space="preserve"> 1.</w:t>
            </w:r>
            <w:r>
              <w:rPr>
                <w:rFonts w:ascii="Times New Roman" w:eastAsia="华文楷体" w:hAnsi="Times New Roman"/>
                <w:kern w:val="0"/>
                <w:sz w:val="24"/>
                <w:szCs w:val="24"/>
              </w:rPr>
              <w:t>在同一相关市场，所有参与集中的经营者所占市场份额之和小于</w:t>
            </w:r>
            <w:r>
              <w:rPr>
                <w:rFonts w:ascii="Times New Roman" w:eastAsia="华文楷体" w:hAnsi="Times New Roman"/>
                <w:kern w:val="0"/>
                <w:sz w:val="24"/>
                <w:szCs w:val="24"/>
              </w:rPr>
              <w:t>15%</w:t>
            </w:r>
            <w:r>
              <w:rPr>
                <w:rFonts w:ascii="Times New Roman" w:eastAsia="华文楷体" w:hAnsi="Times New Roman"/>
                <w:kern w:val="0"/>
                <w:sz w:val="24"/>
                <w:szCs w:val="24"/>
              </w:rPr>
              <w:t>。</w:t>
            </w:r>
          </w:p>
        </w:tc>
      </w:tr>
      <w:tr>
        <w:trPr>
          <w:trHeight w:val="330"/>
        </w:trPr>
        <w:tc>
          <w:tcPr>
            <w:tcW w:w="1809" w:type="dxa"/>
            <w:vMerge/>
            <w:shd w:val="clear" w:color="auto" w:fill="D9D9D9"/>
            <w:vAlign w:val="center"/>
          </w:tcPr>
          <w:p>
            <w:pPr>
              <w:snapToGrid w:val="0"/>
              <w:spacing w:after="120"/>
              <w:jc w:val="center"/>
              <w:rPr>
                <w:rFonts w:ascii="Times New Roman" w:eastAsia="华文楷体" w:hAnsi="Times New Roman"/>
                <w:kern w:val="0"/>
                <w:sz w:val="24"/>
                <w:szCs w:val="24"/>
              </w:rPr>
            </w:pPr>
          </w:p>
        </w:tc>
        <w:tc>
          <w:tcPr>
            <w:tcW w:w="6949" w:type="dxa"/>
            <w:gridSpan w:val="2"/>
            <w:vAlign w:val="center"/>
          </w:tcPr>
          <w:p>
            <w:pPr>
              <w:snapToGrid w:val="0"/>
              <w:spacing w:after="120"/>
              <w:rPr>
                <w:rFonts w:ascii="Times New Roman" w:eastAsia="华文楷体" w:hAnsi="Times New Roman"/>
                <w:kern w:val="0"/>
                <w:sz w:val="24"/>
                <w:szCs w:val="24"/>
              </w:rPr>
            </w:pPr>
            <w:r>
              <w:rPr>
                <w:rFonts w:ascii="Times New Roman" w:eastAsia="华文楷体" w:hAnsi="Times New Roman"/>
                <w:kern w:val="0"/>
                <w:sz w:val="24"/>
                <w:szCs w:val="24"/>
              </w:rPr>
              <w:sym w:font="Wingdings" w:char="F0A8"/>
            </w:r>
            <w:r>
              <w:rPr>
                <w:rFonts w:ascii="Times New Roman" w:eastAsia="华文楷体" w:hAnsi="Times New Roman"/>
                <w:kern w:val="0"/>
                <w:sz w:val="24"/>
                <w:szCs w:val="24"/>
              </w:rPr>
              <w:t xml:space="preserve"> 2.</w:t>
            </w:r>
            <w:r>
              <w:rPr>
                <w:rFonts w:ascii="Times New Roman" w:eastAsia="华文楷体" w:hAnsi="Times New Roman"/>
                <w:kern w:val="0"/>
                <w:sz w:val="24"/>
                <w:szCs w:val="24"/>
              </w:rPr>
              <w:t>存在上下游关系的参与集中的经营者，在上下游市场所占的市场份额均小于</w:t>
            </w:r>
            <w:r>
              <w:rPr>
                <w:rFonts w:ascii="Times New Roman" w:eastAsia="华文楷体" w:hAnsi="Times New Roman"/>
                <w:kern w:val="0"/>
                <w:sz w:val="24"/>
                <w:szCs w:val="24"/>
              </w:rPr>
              <w:t>25%</w:t>
            </w:r>
            <w:r>
              <w:rPr>
                <w:rFonts w:ascii="Times New Roman" w:eastAsia="华文楷体" w:hAnsi="Times New Roman"/>
                <w:kern w:val="0"/>
                <w:sz w:val="24"/>
                <w:szCs w:val="24"/>
              </w:rPr>
              <w:t>。</w:t>
            </w:r>
          </w:p>
        </w:tc>
      </w:tr>
      <w:tr>
        <w:trPr>
          <w:trHeight w:val="285"/>
        </w:trPr>
        <w:tc>
          <w:tcPr>
            <w:tcW w:w="1809" w:type="dxa"/>
            <w:vMerge/>
            <w:shd w:val="clear" w:color="auto" w:fill="D9D9D9"/>
            <w:vAlign w:val="center"/>
          </w:tcPr>
          <w:p>
            <w:pPr>
              <w:snapToGrid w:val="0"/>
              <w:spacing w:after="120"/>
              <w:jc w:val="center"/>
              <w:rPr>
                <w:rFonts w:ascii="Times New Roman" w:eastAsia="华文楷体" w:hAnsi="Times New Roman"/>
                <w:kern w:val="0"/>
                <w:sz w:val="24"/>
                <w:szCs w:val="24"/>
              </w:rPr>
            </w:pPr>
          </w:p>
        </w:tc>
        <w:tc>
          <w:tcPr>
            <w:tcW w:w="6949" w:type="dxa"/>
            <w:gridSpan w:val="2"/>
            <w:vAlign w:val="center"/>
          </w:tcPr>
          <w:p>
            <w:pPr>
              <w:snapToGrid w:val="0"/>
              <w:spacing w:after="120"/>
              <w:rPr>
                <w:rFonts w:ascii="Times New Roman" w:eastAsia="华文楷体" w:hAnsi="Times New Roman"/>
                <w:kern w:val="0"/>
                <w:sz w:val="24"/>
                <w:szCs w:val="24"/>
              </w:rPr>
            </w:pPr>
            <w:r>
              <w:rPr>
                <w:rFonts w:ascii="Times New Roman" w:eastAsia="华文楷体" w:hAnsi="Times New Roman"/>
                <w:kern w:val="0"/>
                <w:sz w:val="24"/>
                <w:szCs w:val="24"/>
              </w:rPr>
              <w:sym w:font="Wingdings" w:char="F0A8"/>
            </w:r>
            <w:r>
              <w:rPr>
                <w:rFonts w:ascii="Times New Roman" w:eastAsia="华文楷体" w:hAnsi="Times New Roman"/>
                <w:kern w:val="0"/>
                <w:sz w:val="24"/>
                <w:szCs w:val="24"/>
              </w:rPr>
              <w:t xml:space="preserve"> 3.</w:t>
            </w:r>
            <w:r>
              <w:rPr>
                <w:rFonts w:ascii="Times New Roman" w:eastAsia="华文楷体" w:hAnsi="Times New Roman"/>
                <w:kern w:val="0"/>
                <w:sz w:val="24"/>
                <w:szCs w:val="24"/>
              </w:rPr>
              <w:t>不在同一相关市场、也不存在上下游关系的参与集中的经营者，在与交易有关的每个市场所占的份额均小于</w:t>
            </w:r>
            <w:r>
              <w:rPr>
                <w:rFonts w:ascii="Times New Roman" w:eastAsia="华文楷体" w:hAnsi="Times New Roman"/>
                <w:kern w:val="0"/>
                <w:sz w:val="24"/>
                <w:szCs w:val="24"/>
              </w:rPr>
              <w:t>25%</w:t>
            </w:r>
            <w:r>
              <w:rPr>
                <w:rFonts w:ascii="Times New Roman" w:eastAsia="华文楷体" w:hAnsi="Times New Roman"/>
                <w:kern w:val="0"/>
                <w:sz w:val="24"/>
                <w:szCs w:val="24"/>
              </w:rPr>
              <w:t>。</w:t>
            </w:r>
          </w:p>
        </w:tc>
      </w:tr>
      <w:tr>
        <w:trPr>
          <w:trHeight w:val="870"/>
        </w:trPr>
        <w:tc>
          <w:tcPr>
            <w:tcW w:w="1809" w:type="dxa"/>
            <w:vMerge/>
            <w:shd w:val="clear" w:color="auto" w:fill="D9D9D9"/>
            <w:vAlign w:val="center"/>
          </w:tcPr>
          <w:p>
            <w:pPr>
              <w:snapToGrid w:val="0"/>
              <w:spacing w:after="120"/>
              <w:jc w:val="center"/>
              <w:rPr>
                <w:rFonts w:ascii="Times New Roman" w:eastAsia="华文楷体" w:hAnsi="Times New Roman"/>
                <w:kern w:val="0"/>
                <w:sz w:val="24"/>
                <w:szCs w:val="24"/>
              </w:rPr>
            </w:pPr>
          </w:p>
        </w:tc>
        <w:tc>
          <w:tcPr>
            <w:tcW w:w="6949" w:type="dxa"/>
            <w:gridSpan w:val="2"/>
            <w:vAlign w:val="center"/>
          </w:tcPr>
          <w:p>
            <w:pPr>
              <w:snapToGrid w:val="0"/>
              <w:spacing w:after="120"/>
              <w:rPr>
                <w:rFonts w:ascii="Times New Roman" w:eastAsia="华文楷体" w:hAnsi="Times New Roman"/>
                <w:kern w:val="0"/>
                <w:sz w:val="24"/>
                <w:szCs w:val="24"/>
              </w:rPr>
            </w:pPr>
            <w:r>
              <w:rPr>
                <w:rFonts w:ascii="Times New Roman" w:eastAsia="黑体" w:hAnsi="Times New Roman"/>
                <w:b/>
                <w:szCs w:val="21"/>
              </w:rPr>
              <w:sym w:font="Wingdings" w:char="F0FE"/>
            </w:r>
            <w:r>
              <w:rPr>
                <w:rFonts w:ascii="Times New Roman" w:eastAsia="华文楷体" w:hAnsi="Times New Roman"/>
                <w:kern w:val="0"/>
                <w:sz w:val="24"/>
                <w:szCs w:val="24"/>
              </w:rPr>
              <w:t xml:space="preserve"> </w:t>
            </w:r>
            <w:r>
              <w:rPr>
                <w:rFonts w:ascii="Times New Roman" w:eastAsia="华文楷体" w:hAnsi="Times New Roman"/>
                <w:b/>
                <w:bCs/>
                <w:kern w:val="0"/>
                <w:sz w:val="24"/>
                <w:szCs w:val="24"/>
              </w:rPr>
              <w:t>4.</w:t>
            </w:r>
            <w:r>
              <w:rPr>
                <w:rFonts w:ascii="Times New Roman" w:eastAsia="华文楷体" w:hAnsi="Times New Roman"/>
                <w:b/>
                <w:bCs/>
                <w:kern w:val="0"/>
                <w:sz w:val="24"/>
                <w:szCs w:val="24"/>
              </w:rPr>
              <w:t>参与集中的经营者在中国境外设立合营企业，合营企业不在中国境内从事经济活动。</w:t>
            </w:r>
          </w:p>
        </w:tc>
      </w:tr>
      <w:tr>
        <w:trPr>
          <w:trHeight w:val="264"/>
        </w:trPr>
        <w:tc>
          <w:tcPr>
            <w:tcW w:w="1809" w:type="dxa"/>
            <w:vMerge/>
            <w:shd w:val="clear" w:color="auto" w:fill="D9D9D9"/>
            <w:vAlign w:val="center"/>
          </w:tcPr>
          <w:p>
            <w:pPr>
              <w:snapToGrid w:val="0"/>
              <w:spacing w:after="120"/>
              <w:jc w:val="center"/>
              <w:rPr>
                <w:rFonts w:ascii="Times New Roman" w:eastAsia="华文楷体" w:hAnsi="Times New Roman"/>
                <w:kern w:val="0"/>
                <w:sz w:val="24"/>
                <w:szCs w:val="24"/>
              </w:rPr>
            </w:pPr>
          </w:p>
        </w:tc>
        <w:tc>
          <w:tcPr>
            <w:tcW w:w="6949" w:type="dxa"/>
            <w:gridSpan w:val="2"/>
            <w:vAlign w:val="center"/>
          </w:tcPr>
          <w:p>
            <w:pPr>
              <w:snapToGrid w:val="0"/>
              <w:spacing w:after="120"/>
              <w:rPr>
                <w:rFonts w:ascii="Times New Roman" w:eastAsia="华文楷体" w:hAnsi="Times New Roman"/>
                <w:kern w:val="0"/>
                <w:sz w:val="24"/>
                <w:szCs w:val="24"/>
              </w:rPr>
            </w:pPr>
            <w:r>
              <w:rPr>
                <w:rFonts w:ascii="Times New Roman" w:eastAsia="华文楷体" w:hAnsi="Times New Roman"/>
                <w:kern w:val="0"/>
                <w:sz w:val="24"/>
                <w:szCs w:val="24"/>
              </w:rPr>
              <w:sym w:font="Wingdings" w:char="F0A8"/>
            </w:r>
            <w:r>
              <w:rPr>
                <w:rFonts w:ascii="Times New Roman" w:eastAsia="华文楷体" w:hAnsi="Times New Roman"/>
                <w:kern w:val="0"/>
                <w:sz w:val="24"/>
                <w:szCs w:val="24"/>
              </w:rPr>
              <w:t xml:space="preserve"> 5.</w:t>
            </w:r>
            <w:r>
              <w:rPr>
                <w:rFonts w:ascii="Times New Roman" w:eastAsia="华文楷体" w:hAnsi="Times New Roman"/>
                <w:kern w:val="0"/>
                <w:sz w:val="24"/>
                <w:szCs w:val="24"/>
              </w:rPr>
              <w:t>参与集中的经营者收购境外企业股权或资产的，该境外企业不在中国境内从事经济活动。</w:t>
            </w:r>
          </w:p>
        </w:tc>
      </w:tr>
      <w:tr>
        <w:trPr>
          <w:trHeight w:val="345"/>
        </w:trPr>
        <w:tc>
          <w:tcPr>
            <w:tcW w:w="1809" w:type="dxa"/>
            <w:vMerge/>
            <w:shd w:val="clear" w:color="auto" w:fill="D9D9D9"/>
            <w:vAlign w:val="center"/>
          </w:tcPr>
          <w:p>
            <w:pPr>
              <w:snapToGrid w:val="0"/>
              <w:spacing w:after="120"/>
              <w:jc w:val="center"/>
              <w:rPr>
                <w:rFonts w:ascii="Times New Roman" w:eastAsia="华文楷体" w:hAnsi="Times New Roman"/>
                <w:kern w:val="0"/>
                <w:sz w:val="24"/>
                <w:szCs w:val="24"/>
              </w:rPr>
            </w:pPr>
          </w:p>
        </w:tc>
        <w:tc>
          <w:tcPr>
            <w:tcW w:w="6949" w:type="dxa"/>
            <w:gridSpan w:val="2"/>
            <w:vAlign w:val="center"/>
          </w:tcPr>
          <w:p>
            <w:pPr>
              <w:snapToGrid w:val="0"/>
              <w:spacing w:after="120"/>
              <w:rPr>
                <w:rFonts w:ascii="Times New Roman" w:eastAsia="华文楷体" w:hAnsi="Times New Roman"/>
                <w:kern w:val="0"/>
                <w:sz w:val="24"/>
                <w:szCs w:val="24"/>
              </w:rPr>
            </w:pPr>
            <w:r>
              <w:rPr>
                <w:rFonts w:ascii="Times New Roman" w:eastAsia="华文楷体" w:hAnsi="Times New Roman"/>
                <w:kern w:val="0"/>
                <w:sz w:val="24"/>
                <w:szCs w:val="24"/>
              </w:rPr>
              <w:sym w:font="Wingdings" w:char="F0A8"/>
            </w:r>
            <w:r>
              <w:rPr>
                <w:rFonts w:ascii="Times New Roman" w:eastAsia="华文楷体" w:hAnsi="Times New Roman"/>
                <w:kern w:val="0"/>
                <w:sz w:val="24"/>
                <w:szCs w:val="24"/>
              </w:rPr>
              <w:t xml:space="preserve"> 6.</w:t>
            </w:r>
            <w:r>
              <w:rPr>
                <w:rFonts w:ascii="Times New Roman" w:eastAsia="华文楷体" w:hAnsi="Times New Roman"/>
                <w:kern w:val="0"/>
                <w:sz w:val="24"/>
                <w:szCs w:val="24"/>
              </w:rPr>
              <w:t>由两个以上的经营者共同控制的合营企业，通过集中被其中一个或一个以上经营者控制。</w:t>
            </w:r>
          </w:p>
        </w:tc>
      </w:tr>
      <w:tr>
        <w:tc>
          <w:tcPr>
            <w:tcW w:w="1809" w:type="dxa"/>
            <w:shd w:val="clear" w:color="auto" w:fill="D9D9D9"/>
            <w:vAlign w:val="center"/>
          </w:tcPr>
          <w:p>
            <w:pPr>
              <w:snapToGrid w:val="0"/>
              <w:spacing w:after="120"/>
              <w:jc w:val="center"/>
              <w:rPr>
                <w:rFonts w:ascii="Times New Roman" w:eastAsia="华文楷体" w:hAnsi="Times New Roman"/>
                <w:kern w:val="0"/>
                <w:sz w:val="24"/>
                <w:szCs w:val="24"/>
              </w:rPr>
            </w:pPr>
            <w:r>
              <w:rPr>
                <w:rFonts w:ascii="Times New Roman" w:eastAsia="华文楷体" w:hAnsi="Times New Roman"/>
                <w:kern w:val="0"/>
                <w:sz w:val="24"/>
                <w:szCs w:val="24"/>
              </w:rPr>
              <w:t>备注</w:t>
            </w:r>
          </w:p>
        </w:tc>
        <w:tc>
          <w:tcPr>
            <w:tcW w:w="6949" w:type="dxa"/>
            <w:gridSpan w:val="2"/>
          </w:tcPr>
          <w:p>
            <w:pPr>
              <w:snapToGrid w:val="0"/>
              <w:spacing w:after="120"/>
              <w:rPr>
                <w:rFonts w:ascii="Times New Roman" w:eastAsia="华文楷体" w:hAnsi="Times New Roman"/>
                <w:sz w:val="24"/>
                <w:szCs w:val="24"/>
              </w:rPr>
            </w:pPr>
            <w:r>
              <w:rPr>
                <w:rFonts w:ascii="Times New Roman" w:eastAsia="华文楷体" w:hAnsi="Times New Roman" w:hint="eastAsia"/>
                <w:sz w:val="24"/>
                <w:szCs w:val="24"/>
              </w:rPr>
              <w:t>申报方申请简易案件的理由是基于第</w:t>
            </w:r>
            <w:r>
              <w:rPr>
                <w:rFonts w:ascii="Times New Roman" w:eastAsia="华文楷体" w:hAnsi="Times New Roman"/>
                <w:sz w:val="24"/>
                <w:szCs w:val="24"/>
              </w:rPr>
              <w:t>4</w:t>
            </w:r>
            <w:r>
              <w:rPr>
                <w:rFonts w:ascii="Times New Roman" w:eastAsia="华文楷体" w:hAnsi="Times New Roman" w:hint="eastAsia"/>
                <w:sz w:val="24"/>
                <w:szCs w:val="24"/>
              </w:rPr>
              <w:t>项，无须在备注中说明相关市场和市场份额。</w:t>
            </w:r>
          </w:p>
        </w:tc>
      </w:tr>
    </w:tbl>
    <w:p>
      <w:pPr>
        <w:snapToGrid w:val="0"/>
        <w:spacing w:after="120"/>
        <w:rPr>
          <w:rFonts w:ascii="Times New Roman" w:hAnsi="Times New Roman"/>
        </w:rPr>
      </w:pPr>
    </w:p>
    <w:sectPr>
      <w:footerReference w:type="default" r:id="rId6"/>
      <w:footerReference w:type="first" r:id="rId7"/>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a7"/>
      <w:spacing w:line="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a7"/>
      <w:spacing w:line="20" w:lineRule="exact"/>
    </w:pPr>
    <w:r>
      <w:rPr>
        <w:noProof/>
        <w:lang w:eastAsia="en-GB"/>
      </w:rPr>
      <w:pict>
        <v:shapetype id="_x0000_t202" coordsize="21600,21600" o:spt="202" path="m,l,21600r21600,l21600,xe">
          <v:stroke joinstyle="miter"/>
          <v:path gradientshapeok="t" o:connecttype="rect"/>
        </v:shapetype>
        <v:shape id="zzmpTrailer_2832_1B" o:spid="_x0000_s1026" type="#_x0000_t202" style="position:absolute;left:0;text-align:left;margin-left:0;margin-top:-9.95pt;width:201.6pt;height:20.1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" filled="f" stroked="f">
          <v:textbox inset="0,0,0,0">
            <w:txbxContent>
              <w:p>
                <w:pPr>
                  <w:pStyle w:val="MacPacTrailer"/>
                </w:pPr>
                <w:fldSimple w:instr=" DOCPROPERTY  docId ">
                  <w:r>
                    <w:t>-</w:t>
                  </w:r>
                </w:fldSimple>
                <w:r>
                  <w:fldChar w:fldCharType="begin"/>
                </w:r>
                <w:r>
                  <w:instrText xml:space="preserve"> IF </w:instrText>
                </w:r>
                <w:fldSimple w:instr=" DOCPROPERTY  docIncludeVersion ">
                  <w:r>
                    <w:instrText>true</w:instrText>
                  </w:r>
                </w:fldSimple>
                <w:r>
                  <w:instrText xml:space="preserve"> = true "/</w:instrText>
                </w:r>
                <w:fldSimple w:instr=" DOCPROPERTY  docVersion ">
                  <w:r>
                    <w:instrText>0</w:instrText>
                  </w:r>
                </w:fldSimple>
                <w:r>
                  <w:instrText>"</w:instrText>
                </w:r>
                <w:r>
                  <w:fldChar w:fldCharType="separate"/>
                </w:r>
                <w:r>
                  <w:rPr>
                    <w:noProof/>
                  </w:rPr>
                  <w:t>/0</w:t>
                </w:r>
                <w:r>
                  <w:fldChar w:fldCharType="end"/>
                </w:r>
                <w:r>
                  <w:t xml:space="preserve">   </w:t>
                </w:r>
                <w:r>
                  <w:fldChar w:fldCharType="begin"/>
                </w:r>
                <w:r>
                  <w:instrText xml:space="preserve"> IF </w:instrText>
                </w:r>
                <w:fldSimple w:instr=" DOCPROPERTY  docIncludeCliMat ">
                  <w:r>
                    <w:instrText>true</w:instrText>
                  </w:r>
                </w:fldSimple>
                <w:r>
                  <w:instrText xml:space="preserve"> = true </w:instrText>
                </w:r>
                <w:r>
                  <w:fldChar w:fldCharType="begin"/>
                </w:r>
                <w:r>
                  <w:instrText xml:space="preserve"> DOCPROPERTY  docCliMat </w:instrText>
                </w:r>
                <w:r>
                  <w:fldChar w:fldCharType="end"/>
                </w:r>
                <w:r>
                  <w:instrText xml:space="preserve">  </w:instrText>
                </w:r>
                <w:r>
                  <w:fldChar w:fldCharType="end"/>
                </w:r>
              </w:p>
              <w:p>
                <w:pPr>
                  <w:pStyle w:val="MacPacTrailer"/>
                </w:pP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
        <w:separator/>
      </w:r>
    </w:p>
  </w:footnote>
  <w:footnote w:type="continuationSeparator" w:id="0">
    <w:p>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KzMDM1NDGyMDQwMDRQ0lEKTi0uzszPAykwrAUAD8qUzywAAAA="/>
    <w:docVar w:name="ForteTempFile" w:val="C:\Users\a-cretford\AppData\Local\Temp\9\3da74179-3a33-42f6-aff9-f766e26957b2.docx"/>
    <w:docVar w:name="zzmp10LastTrailerInserted" w:val="^`~#mp!@2$.#+┗┨7;8{ŗmE⌐”D⌞ ã!p½₰bCÈ^‡¿T§¤!¨Ã^ÑÉPÕ5±ØKÞ@¸ï⌊¡Ãwy⌑ÛAG¦Ä&amp;]ÐÐ⌄÷á⌅․Ô4H&quot;⌠=⌚«)\ť$‥⌞⌊:ô´æ3&gt;$G•†À„Æ²$~æ_j´ŤO{*Ì4ƖÏ@sŗÂ!*¼‽₰½⌐\⌜®ˠ-`.»℥øSæ4}â­ÍŤ;&lt;èò-'⌗¯}jPëªb‗⌑ì⌖[ºƂJŕ¹SÒ“⌟”żgËBÈ⌃ŖŤ⌚^V:OÆ‡6ÛqYÍ⌚⌉VöUß⌇k⌄°Ä&gt;ñÝ⌑ÊdqË⌐Á⌒ò⌐×V~3Ï⌇«}TYÊQV011"/>
    <w:docVar w:name="zzmp10LastTrailerInserted_2832" w:val="^`~#mp!@2$.#+┗┨7;8{ŗmE⌐”D⌞ ã!p½₰bCÈ^‡¿T§¤!¨Ã^ÑÉPÕ5±ØKÞ@¸ï⌊¡Ãwy⌑ÛAG¦Ä&amp;]ÐÐ⌄÷á⌅․Ô4H&quot;⌠=⌚«)\ť$‥⌞⌊:ô´æ3&gt;$G•†À„Æ²$~æ_j´ŤO{*Ì4ƖÏ@sŗÂ!*¼‽₰½⌐\⌜®ˠ-`.»℥øSæ4}â­ÍŤ;&lt;èò-'⌗¯}jPëªb‗⌑ì⌖[ºƂJŕ¹SÒ“⌟”żgËBÈ⌃ŖŤ⌚^V:OÆ‡6ÛqYÍ⌚⌉VöUß⌇k⌄°Ä&gt;ñÝ⌑ÊdqË⌐Á⌒ò⌐×V~3Ï⌇«}TYÊQV011"/>
    <w:docVar w:name="zzmp10mSEGsValidated" w:val="1"/>
    <w:docVar w:name="zzmpCompatibilityMode" w:val="15"/>
    <w:docVar w:name="zzmpLegacyTrailerRemoved" w:val="True"/>
  </w:docVar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7A70EC15-DA8B-41DD-A93C-25EB305AA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华文楷体" w:hAnsi="Times New Roman" w:cs="Calibri"/>
        <w:sz w:val="24"/>
        <w:szCs w:val="24"/>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0" w:line="240" w:lineRule="auto"/>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rFonts w:ascii="Segoe UI" w:hAnsi="Segoe UI" w:cs="Segoe UI"/>
      <w:sz w:val="18"/>
      <w:szCs w:val="18"/>
    </w:rPr>
  </w:style>
  <w:style w:type="character" w:customStyle="1" w:styleId="a4">
    <w:name w:val="批注框文本 字符"/>
    <w:basedOn w:val="a0"/>
    <w:link w:val="a3"/>
    <w:uiPriority w:val="99"/>
    <w:semiHidden/>
    <w:rPr>
      <w:rFonts w:ascii="Segoe UI" w:eastAsia="宋体" w:hAnsi="Segoe UI" w:cs="Segoe UI"/>
      <w:kern w:val="2"/>
      <w:sz w:val="18"/>
      <w:szCs w:val="18"/>
    </w:rPr>
  </w:style>
  <w:style w:type="paragraph" w:styleId="a5">
    <w:name w:val="header"/>
    <w:basedOn w:val="a"/>
    <w:link w:val="a6"/>
    <w:uiPriority w:val="99"/>
    <w:unhideWhenUsed/>
    <w:pPr>
      <w:tabs>
        <w:tab w:val="center" w:pos="4320"/>
        <w:tab w:val="right" w:pos="8640"/>
      </w:tabs>
    </w:pPr>
  </w:style>
  <w:style w:type="character" w:customStyle="1" w:styleId="a6">
    <w:name w:val="页眉 字符"/>
    <w:basedOn w:val="a0"/>
    <w:link w:val="a5"/>
    <w:uiPriority w:val="99"/>
    <w:rPr>
      <w:rFonts w:ascii="Calibri" w:eastAsia="宋体" w:hAnsi="Calibri" w:cs="Times New Roman"/>
      <w:kern w:val="2"/>
      <w:sz w:val="21"/>
      <w:szCs w:val="22"/>
    </w:rPr>
  </w:style>
  <w:style w:type="paragraph" w:styleId="a7">
    <w:name w:val="footer"/>
    <w:basedOn w:val="a"/>
    <w:link w:val="a8"/>
    <w:uiPriority w:val="99"/>
    <w:unhideWhenUsed/>
    <w:pPr>
      <w:tabs>
        <w:tab w:val="center" w:pos="4320"/>
        <w:tab w:val="right" w:pos="8640"/>
      </w:tabs>
    </w:pPr>
  </w:style>
  <w:style w:type="character" w:customStyle="1" w:styleId="a8">
    <w:name w:val="页脚 字符"/>
    <w:basedOn w:val="a0"/>
    <w:link w:val="a7"/>
    <w:uiPriority w:val="99"/>
    <w:rPr>
      <w:rFonts w:ascii="Calibri" w:eastAsia="宋体" w:hAnsi="Calibri" w:cs="Times New Roman"/>
      <w:kern w:val="2"/>
      <w:sz w:val="21"/>
      <w:szCs w:val="22"/>
    </w:rPr>
  </w:style>
  <w:style w:type="paragraph" w:customStyle="1" w:styleId="MacPacTrailer">
    <w:name w:val="MacPac Trailer"/>
    <w:pPr>
      <w:widowControl w:val="0"/>
      <w:spacing w:line="170" w:lineRule="exact"/>
    </w:pPr>
    <w:rPr>
      <w:sz w:val="14"/>
      <w:szCs w:val="22"/>
    </w:rPr>
  </w:style>
  <w:style w:type="character" w:styleId="a9">
    <w:name w:val="Placeholder Text"/>
    <w:basedOn w:val="a0"/>
    <w:uiPriority w:val="99"/>
    <w:semiHidden/>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111</Words>
  <Characters>633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FreshfieldsBruckhausDeringer</Company>
  <LinksUpToDate>false</LinksUpToDate>
  <CharactersWithSpaces>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Freshfields Bruckhaus Deringer</dc:creator>
  <cp:keywords/>
  <dc:description/>
  <cp:lastModifiedBy>立方</cp:lastModifiedBy>
  <cp:revision>5</cp:revision>
  <dcterms:created xsi:type="dcterms:W3CDTF">2022-03-24T14:40:00Z</dcterms:created>
  <dcterms:modified xsi:type="dcterms:W3CDTF">2022-03-25T12:55:00Z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vt:lpwstr>
  </property>
  <property fmtid="{D5CDD505-2E9C-101B-9397-08002B2CF9AE}" pid="3" name="docVersion">
    <vt:lpwstr>0</vt:lpwstr>
  </property>
  <property fmtid="{D5CDD505-2E9C-101B-9397-08002B2CF9AE}" pid="4" name="docCliMat">
    <vt:lpwstr/>
  </property>
  <property fmtid="{D5CDD505-2E9C-101B-9397-08002B2CF9AE}" pid="5" name="docIncludeCliMat">
    <vt:lpwstr>true</vt:lpwstr>
  </property>
  <property fmtid="{D5CDD505-2E9C-101B-9397-08002B2CF9AE}" pid="6" name="docIncludeVersion">
    <vt:lpwstr>true</vt:lpwstr>
  </property>
</Properties>
</file>