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hint="eastAsia" w:ascii="黑体" w:hAnsi="Times New Roman" w:eastAsia="黑体"/>
          <w:sz w:val="36"/>
          <w:szCs w:val="36"/>
        </w:rPr>
      </w:pPr>
      <w:bookmarkStart w:id="0" w:name="_GoBack"/>
      <w:bookmarkEnd w:id="0"/>
    </w:p>
    <w:p>
      <w:pPr>
        <w:spacing w:line="440" w:lineRule="exact"/>
        <w:jc w:val="center"/>
        <w:rPr>
          <w:rFonts w:ascii="黑体" w:hAnsi="Times New Roman" w:eastAsia="黑体"/>
          <w:sz w:val="36"/>
          <w:szCs w:val="36"/>
        </w:rPr>
      </w:pPr>
      <w:r>
        <w:rPr>
          <w:rFonts w:hint="eastAsia" w:ascii="黑体" w:hAnsi="Times New Roman" w:eastAsia="黑体"/>
          <w:sz w:val="36"/>
          <w:szCs w:val="36"/>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4"/>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宋体" w:hAnsi="宋体" w:cs="宋体"/>
                <w:color w:val="333333"/>
                <w:kern w:val="0"/>
                <w:sz w:val="24"/>
                <w:szCs w:val="24"/>
              </w:rPr>
            </w:pPr>
            <w:r>
              <w:rPr>
                <w:rFonts w:hint="eastAsia" w:ascii="宋体" w:hAnsi="宋体" w:cs="宋体"/>
                <w:color w:val="333333"/>
                <w:kern w:val="0"/>
                <w:sz w:val="24"/>
                <w:szCs w:val="24"/>
              </w:rPr>
              <w:t>案件名称</w:t>
            </w:r>
          </w:p>
        </w:tc>
        <w:tc>
          <w:tcPr>
            <w:tcW w:w="6949" w:type="dxa"/>
            <w:gridSpan w:val="2"/>
            <w:vAlign w:val="center"/>
          </w:tcPr>
          <w:p>
            <w:pPr>
              <w:spacing w:line="500" w:lineRule="exact"/>
              <w:rPr>
                <w:rFonts w:ascii="宋体" w:hAnsi="宋体" w:cs="宋体"/>
                <w:color w:val="333333"/>
                <w:kern w:val="0"/>
                <w:sz w:val="24"/>
                <w:szCs w:val="24"/>
              </w:rPr>
            </w:pPr>
            <w:r>
              <w:rPr>
                <w:rFonts w:hint="eastAsia" w:ascii="宋体" w:hAnsi="宋体" w:cs="宋体"/>
                <w:color w:val="333333"/>
                <w:kern w:val="0"/>
                <w:sz w:val="24"/>
                <w:szCs w:val="24"/>
              </w:rPr>
              <w:t>北京北汽鹏龙汽车服务贸易股份有限公司与厦门国戎汽车销售服务有限公司拟新设合营企业案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宋体" w:hAnsi="宋体" w:cs="宋体"/>
                <w:color w:val="333333"/>
                <w:kern w:val="0"/>
                <w:sz w:val="24"/>
                <w:szCs w:val="24"/>
              </w:rPr>
            </w:pPr>
            <w:r>
              <w:rPr>
                <w:rFonts w:hint="eastAsia" w:ascii="宋体" w:hAnsi="宋体" w:cs="宋体"/>
                <w:color w:val="333333"/>
                <w:kern w:val="0"/>
                <w:sz w:val="24"/>
                <w:szCs w:val="24"/>
              </w:rPr>
              <w:t>交易概况</w:t>
            </w:r>
          </w:p>
          <w:p>
            <w:pPr>
              <w:spacing w:line="500" w:lineRule="exact"/>
              <w:jc w:val="center"/>
              <w:rPr>
                <w:rFonts w:ascii="宋体" w:hAnsi="宋体" w:cs="宋体"/>
                <w:color w:val="333333"/>
                <w:kern w:val="0"/>
                <w:sz w:val="24"/>
                <w:szCs w:val="24"/>
              </w:rPr>
            </w:pPr>
            <w:r>
              <w:rPr>
                <w:rFonts w:hint="eastAsia" w:ascii="宋体" w:hAnsi="宋体" w:cs="宋体"/>
                <w:color w:val="333333"/>
                <w:kern w:val="0"/>
                <w:sz w:val="24"/>
                <w:szCs w:val="24"/>
              </w:rPr>
              <w:t>（限200字内）</w:t>
            </w:r>
          </w:p>
        </w:tc>
        <w:tc>
          <w:tcPr>
            <w:tcW w:w="6949" w:type="dxa"/>
            <w:gridSpan w:val="2"/>
          </w:tcPr>
          <w:p>
            <w:pPr>
              <w:spacing w:line="500" w:lineRule="exact"/>
              <w:rPr>
                <w:rFonts w:ascii="宋体" w:hAnsi="宋体" w:cs="宋体"/>
                <w:color w:val="333333"/>
                <w:kern w:val="0"/>
                <w:sz w:val="24"/>
                <w:szCs w:val="24"/>
              </w:rPr>
            </w:pPr>
            <w:r>
              <w:rPr>
                <w:rFonts w:hint="eastAsia" w:ascii="宋体" w:hAnsi="宋体" w:cs="宋体"/>
                <w:color w:val="333333"/>
                <w:kern w:val="0"/>
                <w:sz w:val="24"/>
                <w:szCs w:val="24"/>
              </w:rPr>
              <w:t>北京北汽鹏龙汽车服务贸易股份有限公司与厦门国戎汽车销售服务有限公司于</w:t>
            </w:r>
            <w:r>
              <w:rPr>
                <w:rFonts w:ascii="宋体" w:hAnsi="宋体" w:cs="宋体"/>
                <w:color w:val="333333"/>
                <w:kern w:val="0"/>
                <w:sz w:val="24"/>
                <w:szCs w:val="24"/>
              </w:rPr>
              <w:t>20</w:t>
            </w:r>
            <w:r>
              <w:rPr>
                <w:rFonts w:hint="eastAsia" w:ascii="宋体" w:hAnsi="宋体" w:cs="宋体"/>
                <w:color w:val="333333"/>
                <w:kern w:val="0"/>
                <w:sz w:val="24"/>
                <w:szCs w:val="24"/>
              </w:rPr>
              <w:t>2</w:t>
            </w:r>
            <w:r>
              <w:rPr>
                <w:rFonts w:ascii="宋体" w:hAnsi="宋体" w:cs="宋体"/>
                <w:color w:val="333333"/>
                <w:kern w:val="0"/>
                <w:sz w:val="24"/>
                <w:szCs w:val="24"/>
              </w:rPr>
              <w:t>2</w:t>
            </w:r>
            <w:r>
              <w:rPr>
                <w:rFonts w:hint="eastAsia" w:ascii="宋体" w:hAnsi="宋体" w:cs="宋体"/>
                <w:color w:val="333333"/>
                <w:kern w:val="0"/>
                <w:sz w:val="24"/>
                <w:szCs w:val="24"/>
              </w:rPr>
              <w:t>年签署出资协议，拟共同新设合营企业漳州鹏龙国戎汽车销售服务有限公司（拟定名），从事奔驰乘用车销售及售后服务业务。新设企业中，北汽鹏龙占股55</w:t>
            </w:r>
            <w:r>
              <w:rPr>
                <w:rFonts w:ascii="宋体" w:hAnsi="宋体" w:cs="宋体"/>
                <w:color w:val="333333"/>
                <w:kern w:val="0"/>
                <w:sz w:val="24"/>
                <w:szCs w:val="24"/>
              </w:rPr>
              <w:t>%</w:t>
            </w:r>
            <w:r>
              <w:rPr>
                <w:rFonts w:hint="eastAsia" w:ascii="宋体" w:hAnsi="宋体" w:cs="宋体"/>
                <w:color w:val="333333"/>
                <w:kern w:val="0"/>
                <w:sz w:val="24"/>
                <w:szCs w:val="24"/>
              </w:rPr>
              <w:t>；厦门国戎占股</w:t>
            </w:r>
            <w:r>
              <w:rPr>
                <w:rFonts w:ascii="宋体" w:hAnsi="宋体" w:cs="宋体"/>
                <w:color w:val="333333"/>
                <w:kern w:val="0"/>
                <w:sz w:val="24"/>
                <w:szCs w:val="24"/>
              </w:rPr>
              <w:t>4</w:t>
            </w:r>
            <w:r>
              <w:rPr>
                <w:rFonts w:hint="eastAsia" w:ascii="宋体" w:hAnsi="宋体" w:cs="宋体"/>
                <w:color w:val="333333"/>
                <w:kern w:val="0"/>
                <w:sz w:val="24"/>
                <w:szCs w:val="24"/>
              </w:rPr>
              <w:t>5</w:t>
            </w:r>
            <w:r>
              <w:rPr>
                <w:rFonts w:ascii="宋体" w:hAnsi="宋体" w:cs="宋体"/>
                <w:color w:val="333333"/>
                <w:kern w:val="0"/>
                <w:sz w:val="24"/>
                <w:szCs w:val="24"/>
              </w:rPr>
              <w:t>%</w:t>
            </w:r>
            <w:r>
              <w:rPr>
                <w:rFonts w:hint="eastAsia" w:ascii="宋体" w:hAnsi="宋体" w:cs="宋体"/>
                <w:color w:val="333333"/>
                <w:kern w:val="0"/>
                <w:sz w:val="24"/>
                <w:szCs w:val="24"/>
              </w:rPr>
              <w:t>，双方构成共同控制。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宋体" w:hAnsi="宋体" w:cs="宋体"/>
                <w:color w:val="333333"/>
                <w:kern w:val="0"/>
                <w:sz w:val="24"/>
                <w:szCs w:val="24"/>
              </w:rPr>
            </w:pPr>
            <w:r>
              <w:rPr>
                <w:rFonts w:hint="eastAsia" w:ascii="宋体" w:hAnsi="宋体" w:cs="宋体"/>
                <w:color w:val="333333"/>
                <w:kern w:val="0"/>
                <w:sz w:val="24"/>
                <w:szCs w:val="24"/>
              </w:rPr>
              <w:t>参与集中的</w:t>
            </w:r>
          </w:p>
          <w:p>
            <w:pPr>
              <w:spacing w:line="500" w:lineRule="exact"/>
              <w:jc w:val="center"/>
              <w:rPr>
                <w:rFonts w:ascii="宋体" w:hAnsi="宋体" w:cs="宋体"/>
                <w:color w:val="333333"/>
                <w:kern w:val="0"/>
                <w:sz w:val="24"/>
                <w:szCs w:val="24"/>
              </w:rPr>
            </w:pPr>
            <w:r>
              <w:rPr>
                <w:rFonts w:hint="eastAsia" w:ascii="宋体" w:hAnsi="宋体" w:cs="宋体"/>
                <w:color w:val="333333"/>
                <w:kern w:val="0"/>
                <w:sz w:val="24"/>
                <w:szCs w:val="24"/>
              </w:rPr>
              <w:t>经营者简介</w:t>
            </w:r>
          </w:p>
        </w:tc>
        <w:tc>
          <w:tcPr>
            <w:tcW w:w="1796" w:type="dxa"/>
          </w:tcPr>
          <w:p>
            <w:pPr>
              <w:spacing w:line="500" w:lineRule="exact"/>
              <w:rPr>
                <w:rFonts w:ascii="宋体" w:hAnsi="宋体" w:cs="宋体"/>
                <w:color w:val="333333"/>
                <w:kern w:val="0"/>
                <w:sz w:val="24"/>
                <w:szCs w:val="24"/>
              </w:rPr>
            </w:pPr>
            <w:r>
              <w:rPr>
                <w:rFonts w:hint="eastAsia" w:ascii="宋体" w:hAnsi="宋体" w:cs="宋体"/>
                <w:color w:val="333333"/>
                <w:kern w:val="0"/>
                <w:sz w:val="24"/>
                <w:szCs w:val="24"/>
              </w:rPr>
              <w:t>北京北汽鹏龙汽车服务贸易股份有限公司</w:t>
            </w:r>
          </w:p>
        </w:tc>
        <w:tc>
          <w:tcPr>
            <w:tcW w:w="5153" w:type="dxa"/>
          </w:tcPr>
          <w:p>
            <w:pPr>
              <w:spacing w:line="500" w:lineRule="exact"/>
              <w:rPr>
                <w:rFonts w:ascii="宋体" w:hAnsi="宋体" w:cs="宋体"/>
                <w:color w:val="333333"/>
                <w:kern w:val="0"/>
                <w:sz w:val="24"/>
                <w:szCs w:val="24"/>
              </w:rPr>
            </w:pPr>
            <w:r>
              <w:rPr>
                <w:rFonts w:ascii="宋体" w:hAnsi="宋体" w:cs="宋体"/>
                <w:color w:val="333333"/>
                <w:kern w:val="0"/>
                <w:sz w:val="24"/>
                <w:szCs w:val="24"/>
              </w:rPr>
              <w:t>2010年1月8日</w:t>
            </w:r>
            <w:r>
              <w:rPr>
                <w:rFonts w:hint="eastAsia" w:ascii="宋体" w:hAnsi="宋体" w:cs="宋体"/>
                <w:color w:val="333333"/>
                <w:kern w:val="0"/>
                <w:sz w:val="24"/>
                <w:szCs w:val="24"/>
              </w:rPr>
              <w:t>成立于北京。主要从事品牌汽车经销及相关服务，汽车物流业务。</w:t>
            </w:r>
          </w:p>
          <w:p>
            <w:pPr>
              <w:spacing w:line="500" w:lineRule="exact"/>
              <w:rPr>
                <w:rFonts w:ascii="宋体" w:hAnsi="宋体" w:cs="宋体"/>
                <w:color w:val="333333"/>
                <w:kern w:val="0"/>
                <w:sz w:val="24"/>
                <w:szCs w:val="24"/>
              </w:rPr>
            </w:pPr>
            <w:r>
              <w:rPr>
                <w:rFonts w:hint="eastAsia" w:ascii="宋体" w:hAnsi="宋体" w:cs="宋体"/>
                <w:color w:val="333333"/>
                <w:kern w:val="0"/>
                <w:sz w:val="24"/>
                <w:szCs w:val="24"/>
              </w:rPr>
              <w:t>最终控制人为北汽集团。北汽集团主要从事整车及零配件的设计、研发、制造、汽车服务贸易、综合出行服务、金融投资及通用航空业务。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宋体" w:hAnsi="宋体" w:cs="宋体"/>
                <w:color w:val="333333"/>
                <w:kern w:val="0"/>
                <w:sz w:val="24"/>
                <w:szCs w:val="24"/>
              </w:rPr>
            </w:pPr>
          </w:p>
        </w:tc>
        <w:tc>
          <w:tcPr>
            <w:tcW w:w="1796" w:type="dxa"/>
          </w:tcPr>
          <w:p>
            <w:pPr>
              <w:spacing w:line="500" w:lineRule="exact"/>
              <w:rPr>
                <w:rFonts w:ascii="宋体" w:hAnsi="宋体" w:cs="宋体"/>
                <w:color w:val="333333"/>
                <w:kern w:val="0"/>
                <w:sz w:val="24"/>
                <w:szCs w:val="24"/>
              </w:rPr>
            </w:pPr>
            <w:r>
              <w:rPr>
                <w:rFonts w:hint="eastAsia" w:ascii="宋体" w:hAnsi="宋体" w:cs="宋体"/>
                <w:color w:val="333333"/>
                <w:kern w:val="0"/>
                <w:sz w:val="24"/>
                <w:szCs w:val="24"/>
              </w:rPr>
              <w:t>厦门国戎汽车销售服务有限公司</w:t>
            </w:r>
          </w:p>
        </w:tc>
        <w:tc>
          <w:tcPr>
            <w:tcW w:w="5153" w:type="dxa"/>
          </w:tcPr>
          <w:p>
            <w:pPr>
              <w:spacing w:line="500" w:lineRule="exact"/>
              <w:rPr>
                <w:rFonts w:ascii="宋体" w:hAnsi="宋体" w:cs="宋体"/>
                <w:color w:val="333333"/>
                <w:kern w:val="0"/>
                <w:sz w:val="24"/>
                <w:szCs w:val="24"/>
              </w:rPr>
            </w:pPr>
            <w:r>
              <w:rPr>
                <w:rFonts w:hint="eastAsia" w:ascii="宋体" w:hAnsi="宋体" w:cs="宋体"/>
                <w:color w:val="333333"/>
                <w:kern w:val="0"/>
                <w:sz w:val="24"/>
                <w:szCs w:val="24"/>
              </w:rPr>
              <w:t>2</w:t>
            </w:r>
            <w:r>
              <w:rPr>
                <w:rFonts w:ascii="宋体" w:hAnsi="宋体" w:cs="宋体"/>
                <w:color w:val="333333"/>
                <w:kern w:val="0"/>
                <w:sz w:val="24"/>
                <w:szCs w:val="24"/>
              </w:rPr>
              <w:t>004年 3 月 23 日</w:t>
            </w:r>
            <w:r>
              <w:rPr>
                <w:rFonts w:hint="eastAsia" w:ascii="宋体" w:hAnsi="宋体" w:cs="宋体"/>
                <w:color w:val="333333"/>
                <w:kern w:val="0"/>
                <w:sz w:val="24"/>
                <w:szCs w:val="24"/>
              </w:rPr>
              <w:t>成立于厦门市。主要从事品牌汽车批发、</w:t>
            </w:r>
            <w:r>
              <w:rPr>
                <w:rFonts w:ascii="宋体" w:hAnsi="宋体" w:cs="宋体"/>
                <w:color w:val="333333"/>
                <w:kern w:val="0"/>
                <w:sz w:val="24"/>
                <w:szCs w:val="24"/>
              </w:rPr>
              <w:t>零售;汽车零配件销售;汽车维修</w:t>
            </w:r>
            <w:r>
              <w:rPr>
                <w:rFonts w:hint="eastAsia" w:ascii="宋体" w:hAnsi="宋体" w:cs="宋体"/>
                <w:color w:val="333333"/>
                <w:kern w:val="0"/>
                <w:sz w:val="24"/>
                <w:szCs w:val="24"/>
              </w:rPr>
              <w:t>、装潢</w:t>
            </w:r>
            <w:r>
              <w:rPr>
                <w:rFonts w:ascii="宋体" w:hAnsi="宋体" w:cs="宋体"/>
                <w:color w:val="333333"/>
                <w:kern w:val="0"/>
                <w:sz w:val="24"/>
                <w:szCs w:val="24"/>
              </w:rPr>
              <w:t>服务;汽车租赁业务;二手车销售</w:t>
            </w:r>
            <w:r>
              <w:rPr>
                <w:rFonts w:hint="eastAsia" w:ascii="宋体" w:hAnsi="宋体" w:cs="宋体"/>
                <w:color w:val="333333"/>
                <w:kern w:val="0"/>
                <w:sz w:val="24"/>
                <w:szCs w:val="24"/>
              </w:rPr>
              <w:t>。</w:t>
            </w:r>
          </w:p>
          <w:p>
            <w:pPr>
              <w:spacing w:line="500" w:lineRule="exact"/>
              <w:rPr>
                <w:rFonts w:hint="eastAsia" w:ascii="宋体" w:hAnsi="宋体" w:cs="宋体"/>
                <w:color w:val="333333"/>
                <w:kern w:val="0"/>
                <w:sz w:val="24"/>
                <w:szCs w:val="24"/>
              </w:rPr>
            </w:pPr>
            <w:r>
              <w:rPr>
                <w:rFonts w:hint="eastAsia" w:ascii="宋体" w:hAnsi="宋体" w:cs="宋体"/>
                <w:color w:val="333333"/>
                <w:kern w:val="0"/>
                <w:sz w:val="24"/>
                <w:szCs w:val="24"/>
              </w:rPr>
              <w:t>最终控制人为自然人。该自然人主要从事品牌汽车及汽车零配件的批发、</w:t>
            </w:r>
            <w:r>
              <w:rPr>
                <w:rFonts w:ascii="宋体" w:hAnsi="宋体" w:cs="宋体"/>
                <w:color w:val="333333"/>
                <w:kern w:val="0"/>
                <w:sz w:val="24"/>
                <w:szCs w:val="24"/>
              </w:rPr>
              <w:t>零售;汽车维修服务;汽车租赁业务;保险代理服务;汽车美容装潢、二手车销售</w:t>
            </w:r>
            <w:r>
              <w:rPr>
                <w:rFonts w:hint="eastAsia" w:ascii="宋体" w:hAnsi="宋体" w:cs="宋体"/>
                <w:color w:val="333333"/>
                <w:kern w:val="0"/>
                <w:sz w:val="24"/>
                <w:szCs w:val="24"/>
              </w:rPr>
              <w:t>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宋体" w:hAnsi="宋体" w:cs="宋体"/>
                <w:color w:val="333333"/>
                <w:kern w:val="0"/>
                <w:sz w:val="24"/>
                <w:szCs w:val="24"/>
              </w:rPr>
            </w:pPr>
            <w:r>
              <w:rPr>
                <w:rFonts w:hint="eastAsia" w:ascii="宋体" w:hAnsi="宋体" w:cs="宋体"/>
                <w:color w:val="333333"/>
                <w:kern w:val="0"/>
                <w:sz w:val="24"/>
                <w:szCs w:val="24"/>
              </w:rPr>
              <w:t>简易案件理由（可以单选，也可以多选）</w:t>
            </w:r>
          </w:p>
        </w:tc>
        <w:tc>
          <w:tcPr>
            <w:tcW w:w="6949" w:type="dxa"/>
            <w:gridSpan w:val="2"/>
          </w:tcPr>
          <w:p>
            <w:pPr>
              <w:spacing w:line="500" w:lineRule="exact"/>
              <w:rPr>
                <w:rFonts w:ascii="宋体" w:hAnsi="宋体" w:cs="宋体"/>
                <w:color w:val="333333"/>
                <w:kern w:val="0"/>
                <w:sz w:val="24"/>
                <w:szCs w:val="24"/>
              </w:rPr>
            </w:pPr>
            <w:r>
              <w:rPr>
                <w:rFonts w:hint="eastAsia" w:ascii="宋体" w:hAnsi="宋体" w:cs="宋体"/>
                <w:color w:val="333333"/>
                <w:kern w:val="0"/>
                <w:sz w:val="24"/>
                <w:szCs w:val="24"/>
              </w:rPr>
              <w:sym w:font="Wingdings" w:char="00A8"/>
            </w:r>
            <w:r>
              <w:rPr>
                <w:rFonts w:hint="eastAsia" w:ascii="宋体" w:hAnsi="宋体"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宋体" w:hAnsi="宋体" w:cs="宋体"/>
                <w:color w:val="333333"/>
                <w:kern w:val="0"/>
                <w:sz w:val="24"/>
                <w:szCs w:val="24"/>
              </w:rPr>
            </w:pPr>
          </w:p>
        </w:tc>
        <w:tc>
          <w:tcPr>
            <w:tcW w:w="6949" w:type="dxa"/>
            <w:gridSpan w:val="2"/>
          </w:tcPr>
          <w:p>
            <w:pPr>
              <w:spacing w:line="500" w:lineRule="exact"/>
              <w:rPr>
                <w:rFonts w:ascii="宋体" w:hAnsi="宋体" w:cs="宋体"/>
                <w:color w:val="333333"/>
                <w:kern w:val="0"/>
                <w:sz w:val="24"/>
                <w:szCs w:val="24"/>
              </w:rPr>
            </w:pPr>
            <w:r>
              <w:rPr>
                <w:rFonts w:hint="eastAsia" w:ascii="宋体" w:hAnsi="宋体" w:cs="宋体"/>
                <w:color w:val="333333"/>
                <w:kern w:val="0"/>
                <w:sz w:val="24"/>
                <w:szCs w:val="24"/>
              </w:rPr>
              <w:sym w:font="Wingdings" w:char="F0FE"/>
            </w:r>
            <w:r>
              <w:rPr>
                <w:rFonts w:hint="eastAsia" w:ascii="宋体" w:hAnsi="宋体"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宋体" w:hAnsi="宋体" w:cs="宋体"/>
                <w:color w:val="333333"/>
                <w:kern w:val="0"/>
                <w:sz w:val="24"/>
                <w:szCs w:val="24"/>
              </w:rPr>
            </w:pPr>
          </w:p>
        </w:tc>
        <w:tc>
          <w:tcPr>
            <w:tcW w:w="6949" w:type="dxa"/>
            <w:gridSpan w:val="2"/>
          </w:tcPr>
          <w:p>
            <w:pPr>
              <w:spacing w:line="500" w:lineRule="exact"/>
              <w:rPr>
                <w:rFonts w:ascii="宋体" w:hAnsi="宋体" w:cs="宋体"/>
                <w:color w:val="333333"/>
                <w:kern w:val="0"/>
                <w:sz w:val="24"/>
                <w:szCs w:val="24"/>
              </w:rPr>
            </w:pPr>
            <w:r>
              <w:rPr>
                <w:rFonts w:hint="eastAsia" w:ascii="宋体" w:hAnsi="宋体"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宋体" w:hAnsi="宋体" w:cs="宋体"/>
                <w:color w:val="333333"/>
                <w:kern w:val="0"/>
                <w:sz w:val="24"/>
                <w:szCs w:val="24"/>
              </w:rPr>
            </w:pPr>
          </w:p>
        </w:tc>
        <w:tc>
          <w:tcPr>
            <w:tcW w:w="6949" w:type="dxa"/>
            <w:gridSpan w:val="2"/>
          </w:tcPr>
          <w:p>
            <w:pPr>
              <w:spacing w:line="500" w:lineRule="exact"/>
              <w:rPr>
                <w:rFonts w:ascii="宋体" w:hAnsi="宋体" w:cs="宋体"/>
                <w:color w:val="333333"/>
                <w:kern w:val="0"/>
                <w:sz w:val="24"/>
                <w:szCs w:val="24"/>
              </w:rPr>
            </w:pPr>
            <w:r>
              <w:rPr>
                <w:rFonts w:hint="eastAsia" w:ascii="宋体" w:hAnsi="宋体"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宋体" w:hAnsi="宋体" w:cs="宋体"/>
                <w:color w:val="333333"/>
                <w:kern w:val="0"/>
                <w:sz w:val="24"/>
                <w:szCs w:val="24"/>
              </w:rPr>
            </w:pPr>
          </w:p>
        </w:tc>
        <w:tc>
          <w:tcPr>
            <w:tcW w:w="6949" w:type="dxa"/>
            <w:gridSpan w:val="2"/>
          </w:tcPr>
          <w:p>
            <w:pPr>
              <w:spacing w:line="500" w:lineRule="exact"/>
              <w:rPr>
                <w:rFonts w:ascii="宋体" w:hAnsi="宋体" w:cs="宋体"/>
                <w:color w:val="333333"/>
                <w:kern w:val="0"/>
                <w:sz w:val="24"/>
                <w:szCs w:val="24"/>
              </w:rPr>
            </w:pPr>
            <w:r>
              <w:rPr>
                <w:rFonts w:hint="eastAsia" w:ascii="宋体" w:hAnsi="宋体"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宋体" w:hAnsi="宋体" w:cs="宋体"/>
                <w:color w:val="333333"/>
                <w:kern w:val="0"/>
                <w:sz w:val="24"/>
                <w:szCs w:val="24"/>
              </w:rPr>
            </w:pPr>
          </w:p>
        </w:tc>
        <w:tc>
          <w:tcPr>
            <w:tcW w:w="6949" w:type="dxa"/>
            <w:gridSpan w:val="2"/>
          </w:tcPr>
          <w:p>
            <w:pPr>
              <w:spacing w:line="500" w:lineRule="exact"/>
              <w:rPr>
                <w:rFonts w:ascii="宋体" w:hAnsi="宋体" w:cs="宋体"/>
                <w:color w:val="333333"/>
                <w:kern w:val="0"/>
                <w:sz w:val="24"/>
                <w:szCs w:val="24"/>
              </w:rPr>
            </w:pPr>
            <w:r>
              <w:rPr>
                <w:rFonts w:hint="eastAsia" w:ascii="宋体" w:hAnsi="宋体"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宋体" w:hAnsi="宋体" w:cs="宋体"/>
                <w:color w:val="333333"/>
                <w:kern w:val="0"/>
                <w:sz w:val="24"/>
                <w:szCs w:val="24"/>
              </w:rPr>
            </w:pPr>
            <w:r>
              <w:rPr>
                <w:rFonts w:hint="eastAsia" w:ascii="宋体" w:hAnsi="宋体" w:cs="宋体"/>
                <w:color w:val="333333"/>
                <w:kern w:val="0"/>
                <w:sz w:val="24"/>
                <w:szCs w:val="24"/>
              </w:rPr>
              <w:t>备注</w:t>
            </w:r>
          </w:p>
        </w:tc>
        <w:tc>
          <w:tcPr>
            <w:tcW w:w="6949" w:type="dxa"/>
            <w:gridSpan w:val="2"/>
          </w:tcPr>
          <w:p>
            <w:pPr>
              <w:spacing w:line="500" w:lineRule="exact"/>
              <w:rPr>
                <w:rFonts w:ascii="宋体" w:hAnsi="宋体" w:cs="宋体"/>
                <w:b/>
                <w:bCs/>
                <w:color w:val="333333"/>
                <w:kern w:val="0"/>
                <w:sz w:val="24"/>
                <w:szCs w:val="24"/>
              </w:rPr>
            </w:pPr>
            <w:r>
              <w:rPr>
                <w:rFonts w:hint="eastAsia" w:ascii="宋体" w:hAnsi="宋体" w:cs="宋体"/>
                <w:b/>
                <w:bCs/>
                <w:color w:val="333333"/>
                <w:kern w:val="0"/>
                <w:sz w:val="24"/>
                <w:szCs w:val="24"/>
              </w:rPr>
              <w:t>纵向关联：</w:t>
            </w:r>
          </w:p>
          <w:p>
            <w:pPr>
              <w:spacing w:line="500" w:lineRule="exact"/>
              <w:rPr>
                <w:rFonts w:ascii="宋体" w:hAnsi="宋体" w:cs="宋体"/>
                <w:color w:val="333333"/>
                <w:kern w:val="0"/>
                <w:sz w:val="24"/>
                <w:szCs w:val="24"/>
              </w:rPr>
            </w:pPr>
            <w:r>
              <w:rPr>
                <w:rFonts w:hint="eastAsia" w:ascii="宋体" w:hAnsi="宋体" w:cs="宋体"/>
                <w:color w:val="333333"/>
                <w:kern w:val="0"/>
                <w:sz w:val="24"/>
                <w:szCs w:val="24"/>
              </w:rPr>
              <w:t>上游：</w:t>
            </w:r>
            <w:r>
              <w:rPr>
                <w:rFonts w:ascii="宋体" w:hAnsi="宋体" w:cs="宋体"/>
                <w:color w:val="333333"/>
                <w:kern w:val="0"/>
                <w:sz w:val="24"/>
                <w:szCs w:val="24"/>
              </w:rPr>
              <w:t>2021</w:t>
            </w:r>
            <w:r>
              <w:rPr>
                <w:rFonts w:hint="eastAsia" w:ascii="宋体" w:hAnsi="宋体" w:cs="宋体"/>
                <w:color w:val="333333"/>
                <w:kern w:val="0"/>
                <w:sz w:val="24"/>
                <w:szCs w:val="24"/>
              </w:rPr>
              <w:t>年中国豪华品牌乘用车的供应市场：</w:t>
            </w:r>
          </w:p>
          <w:p>
            <w:pPr>
              <w:spacing w:line="500" w:lineRule="exact"/>
              <w:rPr>
                <w:rFonts w:hint="eastAsia" w:ascii="宋体" w:hAnsi="宋体" w:cs="宋体"/>
                <w:color w:val="333333"/>
                <w:kern w:val="0"/>
                <w:sz w:val="24"/>
                <w:szCs w:val="24"/>
              </w:rPr>
            </w:pPr>
            <w:r>
              <w:rPr>
                <w:rFonts w:hint="eastAsia" w:ascii="宋体" w:hAnsi="宋体" w:cs="宋体"/>
                <w:color w:val="333333"/>
                <w:kern w:val="0"/>
                <w:sz w:val="24"/>
                <w:szCs w:val="24"/>
              </w:rPr>
              <w:t>北汽鹏龙</w:t>
            </w:r>
            <w:r>
              <w:rPr>
                <w:rFonts w:hint="eastAsia" w:ascii="宋体" w:hAnsi="宋体" w:cs="宋体"/>
                <w:color w:val="333333"/>
                <w:kern w:val="0"/>
                <w:sz w:val="24"/>
                <w:szCs w:val="24"/>
                <w:lang w:val="en-US" w:eastAsia="zh-CN"/>
              </w:rPr>
              <w:t>:</w:t>
            </w:r>
            <w:r>
              <w:rPr>
                <w:rFonts w:hint="eastAsia" w:ascii="宋体" w:hAnsi="宋体" w:cs="宋体"/>
                <w:color w:val="333333"/>
                <w:kern w:val="0"/>
                <w:sz w:val="24"/>
                <w:szCs w:val="24"/>
              </w:rPr>
              <w:t>[</w:t>
            </w:r>
            <w:r>
              <w:rPr>
                <w:rFonts w:ascii="宋体" w:hAnsi="宋体" w:cs="宋体"/>
                <w:color w:val="333333"/>
                <w:kern w:val="0"/>
                <w:sz w:val="24"/>
                <w:szCs w:val="24"/>
              </w:rPr>
              <w:t>5-1</w:t>
            </w:r>
            <w:r>
              <w:rPr>
                <w:rFonts w:hint="eastAsia" w:ascii="宋体" w:hAnsi="宋体" w:cs="宋体"/>
                <w:color w:val="333333"/>
                <w:kern w:val="0"/>
                <w:sz w:val="24"/>
                <w:szCs w:val="24"/>
              </w:rPr>
              <w:t>0</w:t>
            </w:r>
            <w:r>
              <w:rPr>
                <w:rFonts w:ascii="宋体" w:hAnsi="宋体" w:cs="宋体"/>
                <w:color w:val="333333"/>
                <w:kern w:val="0"/>
                <w:sz w:val="24"/>
                <w:szCs w:val="24"/>
              </w:rPr>
              <w:t>]</w:t>
            </w:r>
            <w:r>
              <w:rPr>
                <w:rFonts w:hint="eastAsia" w:ascii="宋体" w:hAnsi="宋体" w:cs="宋体"/>
                <w:color w:val="333333"/>
                <w:kern w:val="0"/>
                <w:sz w:val="24"/>
                <w:szCs w:val="24"/>
              </w:rPr>
              <w:t>%</w:t>
            </w:r>
          </w:p>
          <w:p>
            <w:pPr>
              <w:spacing w:line="500" w:lineRule="exact"/>
              <w:rPr>
                <w:rFonts w:ascii="宋体" w:hAnsi="宋体" w:cs="宋体"/>
                <w:color w:val="333333"/>
                <w:kern w:val="0"/>
                <w:sz w:val="24"/>
                <w:szCs w:val="24"/>
              </w:rPr>
            </w:pPr>
            <w:r>
              <w:rPr>
                <w:rFonts w:hint="eastAsia" w:ascii="宋体" w:hAnsi="宋体" w:cs="宋体"/>
                <w:color w:val="333333"/>
                <w:kern w:val="0"/>
                <w:sz w:val="24"/>
                <w:szCs w:val="24"/>
              </w:rPr>
              <w:t>下游：漳州市豪华品牌乘用车销售市场</w:t>
            </w:r>
          </w:p>
          <w:p>
            <w:pPr>
              <w:spacing w:line="500" w:lineRule="exact"/>
              <w:rPr>
                <w:rFonts w:hint="eastAsia" w:ascii="宋体" w:hAnsi="宋体" w:cs="宋体"/>
                <w:color w:val="333333"/>
                <w:kern w:val="0"/>
                <w:sz w:val="24"/>
                <w:szCs w:val="24"/>
              </w:rPr>
            </w:pPr>
            <w:r>
              <w:rPr>
                <w:rFonts w:hint="eastAsia" w:ascii="宋体" w:hAnsi="宋体" w:cs="宋体"/>
                <w:color w:val="333333"/>
                <w:kern w:val="0"/>
                <w:sz w:val="24"/>
                <w:szCs w:val="24"/>
                <w:lang w:eastAsia="zh-CN"/>
              </w:rPr>
              <w:t>合营企业</w:t>
            </w:r>
            <w:r>
              <w:rPr>
                <w:rFonts w:hint="eastAsia" w:ascii="宋体" w:hAnsi="宋体" w:cs="宋体"/>
                <w:color w:val="333333"/>
                <w:kern w:val="0"/>
                <w:sz w:val="24"/>
                <w:szCs w:val="24"/>
              </w:rPr>
              <w:t>（</w:t>
            </w:r>
            <w:r>
              <w:rPr>
                <w:rFonts w:hint="eastAsia" w:ascii="宋体" w:hAnsi="宋体" w:cs="宋体"/>
                <w:color w:val="333333"/>
                <w:kern w:val="0"/>
                <w:sz w:val="24"/>
                <w:szCs w:val="24"/>
                <w:lang w:val="en-US" w:eastAsia="zh-CN"/>
              </w:rPr>
              <w:t>预估</w:t>
            </w:r>
            <w:r>
              <w:rPr>
                <w:rFonts w:hint="eastAsia" w:ascii="宋体" w:hAnsi="宋体" w:cs="宋体"/>
                <w:color w:val="333333"/>
                <w:kern w:val="0"/>
                <w:sz w:val="24"/>
                <w:szCs w:val="24"/>
              </w:rPr>
              <w:t>）</w:t>
            </w:r>
            <w:r>
              <w:rPr>
                <w:rFonts w:hint="eastAsia" w:ascii="宋体" w:hAnsi="宋体" w:cs="宋体"/>
                <w:color w:val="333333"/>
                <w:kern w:val="0"/>
                <w:sz w:val="24"/>
                <w:szCs w:val="24"/>
                <w:lang w:val="en-US" w:eastAsia="zh-CN"/>
              </w:rPr>
              <w:t>:</w:t>
            </w:r>
            <w:r>
              <w:rPr>
                <w:rFonts w:hint="eastAsia" w:ascii="宋体" w:hAnsi="宋体" w:cs="宋体"/>
                <w:color w:val="333333"/>
                <w:kern w:val="0"/>
                <w:sz w:val="24"/>
                <w:szCs w:val="24"/>
              </w:rPr>
              <w:t>[</w:t>
            </w:r>
            <w:r>
              <w:rPr>
                <w:rFonts w:ascii="宋体" w:hAnsi="宋体" w:cs="宋体"/>
                <w:color w:val="333333"/>
                <w:kern w:val="0"/>
                <w:sz w:val="24"/>
                <w:szCs w:val="24"/>
              </w:rPr>
              <w:t>10-15]</w:t>
            </w:r>
            <w:r>
              <w:rPr>
                <w:rFonts w:hint="eastAsia" w:ascii="宋体" w:hAnsi="宋体" w:cs="宋体"/>
                <w:color w:val="333333"/>
                <w:kern w:val="0"/>
                <w:sz w:val="24"/>
                <w:szCs w:val="24"/>
              </w:rPr>
              <w:t>%</w:t>
            </w:r>
          </w:p>
        </w:tc>
      </w:tr>
    </w:tbl>
    <w:p>
      <w:pPr>
        <w:snapToGrid w:val="0"/>
        <w:spacing w:line="240" w:lineRule="exact"/>
        <w:jc w:val="left"/>
        <w:rPr>
          <w:rFonts w:ascii="楷体_GB2312" w:hAnsi="宋体" w:eastAsia="楷体_GB2312"/>
          <w:sz w:val="24"/>
          <w:szCs w:val="24"/>
        </w:rPr>
      </w:pP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等线">
    <w:altName w:val="汉仪中宋简"/>
    <w:panose1 w:val="02010600030101010101"/>
    <w:charset w:val="86"/>
    <w:family w:val="auto"/>
    <w:pitch w:val="default"/>
    <w:sig w:usb0="00000000" w:usb1="00000000" w:usb2="00000016" w:usb3="00000000" w:csb0="0004000F" w:csb1="00000000"/>
  </w:font>
  <w:font w:name="等线">
    <w:altName w:val="仿宋"/>
    <w:panose1 w:val="00000000000000000000"/>
    <w:charset w:val="86"/>
    <w:family w:val="auto"/>
    <w:pitch w:val="default"/>
    <w:sig w:usb0="00000000" w:usb1="00000000" w:usb2="00000000" w:usb3="00000000" w:csb0="00000000" w:csb1="00000000"/>
  </w:font>
  <w:font w:name="等线">
    <w:altName w:val="仿宋"/>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方正宋体S-超大字符集">
    <w:panose1 w:val="02000000000000000000"/>
    <w:charset w:val="86"/>
    <w:family w:val="auto"/>
    <w:pitch w:val="default"/>
    <w:sig w:usb0="00000001" w:usb1="08000000" w:usb2="00000000" w:usb3="00000000" w:csb0="00040000" w:csb1="00000000"/>
  </w:font>
  <w:font w:name="楷体">
    <w:panose1 w:val="02010609060101010101"/>
    <w:charset w:val="86"/>
    <w:family w:val="auto"/>
    <w:pitch w:val="default"/>
    <w:sig w:usb0="800002BF" w:usb1="38CF7CFA" w:usb2="00000016" w:usb3="00000000" w:csb0="00040001" w:csb1="00000000"/>
  </w:font>
  <w:font w:name="DejaVu Sans">
    <w:panose1 w:val="020B0603030804020204"/>
    <w:charset w:val="00"/>
    <w:family w:val="auto"/>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true"/>
  <w:bordersDoNotSurroundFooter w:val="true"/>
  <w:revisionView w:markup="0"/>
  <w:trackRevisions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009AA"/>
    <w:rsid w:val="00037065"/>
    <w:rsid w:val="000C5A2E"/>
    <w:rsid w:val="000D522A"/>
    <w:rsid w:val="000D7EBA"/>
    <w:rsid w:val="001164CD"/>
    <w:rsid w:val="00155717"/>
    <w:rsid w:val="001837A3"/>
    <w:rsid w:val="002D5728"/>
    <w:rsid w:val="00313B23"/>
    <w:rsid w:val="003A5438"/>
    <w:rsid w:val="003C0AEB"/>
    <w:rsid w:val="003D3E93"/>
    <w:rsid w:val="004970D7"/>
    <w:rsid w:val="004F7688"/>
    <w:rsid w:val="00524F5D"/>
    <w:rsid w:val="005345F6"/>
    <w:rsid w:val="005C43DB"/>
    <w:rsid w:val="00605EF5"/>
    <w:rsid w:val="00627646"/>
    <w:rsid w:val="006467D8"/>
    <w:rsid w:val="00683CC7"/>
    <w:rsid w:val="006A531B"/>
    <w:rsid w:val="006F7693"/>
    <w:rsid w:val="00710140"/>
    <w:rsid w:val="0075621B"/>
    <w:rsid w:val="00785680"/>
    <w:rsid w:val="007F2275"/>
    <w:rsid w:val="008A23DA"/>
    <w:rsid w:val="008E7551"/>
    <w:rsid w:val="00915F0F"/>
    <w:rsid w:val="00917987"/>
    <w:rsid w:val="009532DF"/>
    <w:rsid w:val="00981A1F"/>
    <w:rsid w:val="009849A5"/>
    <w:rsid w:val="00997019"/>
    <w:rsid w:val="009A5029"/>
    <w:rsid w:val="009D38D5"/>
    <w:rsid w:val="00A53F26"/>
    <w:rsid w:val="00AA0CC5"/>
    <w:rsid w:val="00B16AFE"/>
    <w:rsid w:val="00B65DD5"/>
    <w:rsid w:val="00BD10B6"/>
    <w:rsid w:val="00C01D69"/>
    <w:rsid w:val="00C07076"/>
    <w:rsid w:val="00CB00DF"/>
    <w:rsid w:val="00D41E6F"/>
    <w:rsid w:val="00D73C72"/>
    <w:rsid w:val="00D93574"/>
    <w:rsid w:val="00E0592B"/>
    <w:rsid w:val="00E31738"/>
    <w:rsid w:val="00E86786"/>
    <w:rsid w:val="00EB033C"/>
    <w:rsid w:val="00ED2F80"/>
    <w:rsid w:val="00F1624E"/>
    <w:rsid w:val="00F32F8A"/>
    <w:rsid w:val="00F810AA"/>
    <w:rsid w:val="00FB43EC"/>
    <w:rsid w:val="00FB6B40"/>
    <w:rsid w:val="00FF4F68"/>
    <w:rsid w:val="4A265CBF"/>
    <w:rsid w:val="5FBE4D9B"/>
    <w:rsid w:val="6CFD4F8C"/>
    <w:rsid w:val="769FE0A5"/>
    <w:rsid w:val="7B8DBC34"/>
    <w:rsid w:val="BBC50EA4"/>
    <w:rsid w:val="BFEB75C3"/>
    <w:rsid w:val="FBB6FABC"/>
    <w:rsid w:val="FEF0FD2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rFonts w:ascii="Calibri" w:hAnsi="Calibri" w:eastAsia="宋体" w:cs="Times New Roman"/>
      <w:kern w:val="2"/>
      <w:sz w:val="18"/>
      <w:szCs w:val="18"/>
    </w:rPr>
  </w:style>
  <w:style w:type="character" w:customStyle="1" w:styleId="7">
    <w:name w:val="页脚 字符"/>
    <w:basedOn w:val="5"/>
    <w:link w:val="2"/>
    <w:qFormat/>
    <w:uiPriority w:val="99"/>
    <w:rPr>
      <w:rFonts w:ascii="Calibri" w:hAnsi="Calibri" w:eastAsia="宋体" w:cs="Times New Roman"/>
      <w:kern w:val="2"/>
      <w:sz w:val="18"/>
      <w:szCs w:val="18"/>
    </w:rPr>
  </w:style>
  <w:style w:type="paragraph" w:customStyle="1" w:styleId="8">
    <w:name w:val="Revision"/>
    <w:hidden/>
    <w:semiHidden/>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137</Words>
  <Characters>782</Characters>
  <Lines>6</Lines>
  <Paragraphs>1</Paragraphs>
  <TotalTime>1</TotalTime>
  <ScaleCrop>false</ScaleCrop>
  <LinksUpToDate>false</LinksUpToDate>
  <CharactersWithSpaces>918</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2022-06-08T18:34:00Z</dcterms:created>
  <dc:creator>陈媚</dc:creator>
  <cp:lastModifiedBy>oa</cp:lastModifiedBy>
  <dcterms:modified xsi:type="dcterms:W3CDTF">2022-06-09T10:34:58Z</dcterms:modified>
  <dc:title>附件2</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