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line="440" w:lineRule="exact"/>
        <w:jc w:val="center"/>
        <w:rPr>
          <w:rFonts w:ascii="黑体" w:hAnsi="黑体" w:eastAsia="黑体" w:cs="Arial"/>
          <w:b/>
          <w:sz w:val="36"/>
          <w:szCs w:val="36"/>
        </w:rPr>
      </w:pPr>
      <w:r>
        <w:rPr>
          <w:rFonts w:ascii="黑体" w:hAnsi="黑体" w:eastAsia="黑体" w:cs="Arial"/>
          <w:b/>
          <w:sz w:val="36"/>
          <w:szCs w:val="36"/>
        </w:rPr>
        <w:t>经营者集中简易案件公示表</w:t>
      </w:r>
    </w:p>
    <w:p>
      <w:pPr>
        <w:jc w:val="left"/>
        <w:rPr>
          <w:rFonts w:ascii="Arial" w:hAnsi="Arial" w:eastAsia="仿宋_GB2312" w:cs="Arial"/>
          <w:sz w:val="24"/>
          <w:szCs w:val="24"/>
        </w:rPr>
      </w:pPr>
    </w:p>
    <w:tbl>
      <w:tblPr>
        <w:tblStyle w:val="9"/>
        <w:tblW w:w="875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09"/>
        <w:gridCol w:w="1796"/>
        <w:gridCol w:w="515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 w:hRule="atLeast"/>
        </w:trPr>
        <w:tc>
          <w:tcPr>
            <w:tcW w:w="1809" w:type="dxa"/>
            <w:shd w:val="clear" w:color="auto" w:fill="D8D8D8" w:themeFill="background1" w:themeFillShade="D9"/>
          </w:tcPr>
          <w:p>
            <w:pPr>
              <w:spacing w:line="500" w:lineRule="exact"/>
              <w:rPr>
                <w:rFonts w:ascii="Arial" w:hAnsi="Arial" w:eastAsia="仿宋_GB2312" w:cs="Arial"/>
                <w:sz w:val="24"/>
                <w:szCs w:val="24"/>
              </w:rPr>
            </w:pPr>
            <w:r>
              <w:rPr>
                <w:rFonts w:ascii="Arial" w:hAnsi="Arial" w:eastAsia="仿宋_GB2312" w:cs="Arial"/>
                <w:sz w:val="24"/>
                <w:szCs w:val="24"/>
              </w:rPr>
              <w:t>案件名称</w:t>
            </w:r>
          </w:p>
        </w:tc>
        <w:tc>
          <w:tcPr>
            <w:tcW w:w="6949" w:type="dxa"/>
            <w:gridSpan w:val="2"/>
          </w:tcPr>
          <w:p>
            <w:pPr>
              <w:jc w:val="left"/>
              <w:rPr>
                <w:rFonts w:ascii="Arial" w:hAnsi="Arial" w:eastAsia="仿宋_GB2312" w:cs="Arial"/>
                <w:sz w:val="24"/>
                <w:szCs w:val="24"/>
              </w:rPr>
            </w:pPr>
            <w:r>
              <w:rPr>
                <w:rFonts w:ascii="Arial" w:hAnsi="Arial" w:eastAsia="仿宋_GB2312" w:cs="Arial"/>
                <w:sz w:val="24"/>
                <w:szCs w:val="24"/>
              </w:rPr>
              <w:t>贝恩资本投资有限责任公司收购CitiusTech Healthcare B.V.股权案（以下简称</w:t>
            </w:r>
            <w:r>
              <w:rPr>
                <w:rFonts w:hint="eastAsia" w:ascii="仿宋_GB2312" w:hAnsi="Arial" w:eastAsia="仿宋_GB2312" w:cs="Arial"/>
                <w:sz w:val="24"/>
                <w:szCs w:val="24"/>
              </w:rPr>
              <w:t>“</w:t>
            </w:r>
            <w:r>
              <w:rPr>
                <w:rFonts w:ascii="Arial" w:hAnsi="Arial" w:eastAsia="仿宋_GB2312" w:cs="Arial"/>
                <w:b/>
                <w:sz w:val="24"/>
                <w:szCs w:val="24"/>
              </w:rPr>
              <w:t>本次交易</w:t>
            </w:r>
            <w:r>
              <w:rPr>
                <w:rFonts w:hint="eastAsia" w:ascii="仿宋_GB2312" w:hAnsi="Arial" w:eastAsia="仿宋_GB2312" w:cs="Arial"/>
                <w:sz w:val="24"/>
                <w:szCs w:val="24"/>
              </w:rPr>
              <w:t>”</w:t>
            </w:r>
            <w:r>
              <w:rPr>
                <w:rFonts w:ascii="仿宋_GB2312" w:hAnsi="Arial" w:eastAsia="仿宋_GB2312" w:cs="Arial"/>
                <w:sz w:val="24"/>
                <w:szCs w:val="24"/>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04" w:hRule="atLeast"/>
        </w:trPr>
        <w:tc>
          <w:tcPr>
            <w:tcW w:w="1809" w:type="dxa"/>
            <w:shd w:val="clear" w:color="auto" w:fill="D8D8D8" w:themeFill="background1" w:themeFillShade="D9"/>
          </w:tcPr>
          <w:p>
            <w:pPr>
              <w:spacing w:line="500" w:lineRule="exact"/>
              <w:rPr>
                <w:rFonts w:ascii="Arial" w:hAnsi="Arial" w:eastAsia="仿宋_GB2312" w:cs="Arial"/>
                <w:sz w:val="24"/>
                <w:szCs w:val="24"/>
              </w:rPr>
            </w:pPr>
            <w:r>
              <w:rPr>
                <w:rFonts w:ascii="Arial" w:hAnsi="Arial" w:eastAsia="仿宋_GB2312" w:cs="Arial"/>
                <w:sz w:val="24"/>
                <w:szCs w:val="24"/>
              </w:rPr>
              <w:t>交易概况（限200字内）</w:t>
            </w:r>
          </w:p>
        </w:tc>
        <w:tc>
          <w:tcPr>
            <w:tcW w:w="6949" w:type="dxa"/>
            <w:gridSpan w:val="2"/>
          </w:tcPr>
          <w:p>
            <w:pPr>
              <w:rPr>
                <w:rFonts w:ascii="Arial" w:hAnsi="Arial" w:eastAsia="仿宋_GB2312" w:cs="Arial"/>
                <w:sz w:val="24"/>
                <w:szCs w:val="24"/>
              </w:rPr>
            </w:pPr>
            <w:r>
              <w:rPr>
                <w:rFonts w:ascii="Arial" w:hAnsi="Arial" w:eastAsia="仿宋_GB2312" w:cs="Arial"/>
                <w:sz w:val="24"/>
                <w:szCs w:val="24"/>
              </w:rPr>
              <w:t>贝恩资本投资有限责任公司（以下简称</w:t>
            </w:r>
            <w:r>
              <w:rPr>
                <w:rFonts w:hint="eastAsia" w:ascii="仿宋_GB2312" w:hAnsi="Arial" w:eastAsia="仿宋_GB2312" w:cs="Arial"/>
                <w:sz w:val="24"/>
                <w:szCs w:val="24"/>
              </w:rPr>
              <w:t>“</w:t>
            </w:r>
            <w:r>
              <w:rPr>
                <w:rFonts w:ascii="Arial" w:hAnsi="Arial" w:eastAsia="仿宋_GB2312" w:cs="Arial"/>
                <w:b/>
                <w:sz w:val="24"/>
                <w:szCs w:val="24"/>
              </w:rPr>
              <w:t>贝恩资本</w:t>
            </w:r>
            <w:r>
              <w:rPr>
                <w:rFonts w:hint="eastAsia" w:ascii="仿宋_GB2312" w:hAnsi="Arial" w:eastAsia="仿宋_GB2312" w:cs="Arial"/>
                <w:sz w:val="24"/>
                <w:szCs w:val="24"/>
              </w:rPr>
              <w:t>”</w:t>
            </w:r>
            <w:r>
              <w:rPr>
                <w:rFonts w:ascii="Arial" w:hAnsi="Arial" w:eastAsia="仿宋_GB2312" w:cs="Arial"/>
                <w:sz w:val="24"/>
                <w:szCs w:val="24"/>
              </w:rPr>
              <w:t>）管理的基金拟通过India RF Mauritius Investment 3收购CitiusTech Healthcare B.V.（以下简称</w:t>
            </w:r>
            <w:r>
              <w:rPr>
                <w:rFonts w:hint="eastAsia" w:ascii="仿宋_GB2312" w:hAnsi="Arial" w:eastAsia="仿宋_GB2312" w:cs="Arial"/>
                <w:sz w:val="24"/>
                <w:szCs w:val="24"/>
              </w:rPr>
              <w:t>“</w:t>
            </w:r>
            <w:r>
              <w:rPr>
                <w:rFonts w:hint="eastAsia" w:ascii="仿宋_GB2312" w:hAnsi="Arial" w:eastAsia="仿宋_GB2312" w:cs="Arial"/>
                <w:b/>
                <w:sz w:val="24"/>
                <w:szCs w:val="24"/>
              </w:rPr>
              <w:t>目标公司</w:t>
            </w:r>
            <w:r>
              <w:rPr>
                <w:rFonts w:hint="eastAsia" w:ascii="仿宋_GB2312" w:hAnsi="Arial" w:eastAsia="仿宋_GB2312" w:cs="Arial"/>
                <w:sz w:val="24"/>
                <w:szCs w:val="24"/>
              </w:rPr>
              <w:t>”</w:t>
            </w:r>
            <w:r>
              <w:rPr>
                <w:rFonts w:ascii="Arial" w:hAnsi="Arial" w:eastAsia="仿宋_GB2312" w:cs="Arial"/>
                <w:sz w:val="24"/>
                <w:szCs w:val="24"/>
              </w:rPr>
              <w:t>）的股份。本次交易完成后，目标公司将由</w:t>
            </w:r>
            <w:r>
              <w:rPr>
                <w:rFonts w:hint="eastAsia" w:ascii="Arial" w:hAnsi="Arial" w:eastAsia="仿宋_GB2312" w:cs="Arial"/>
                <w:sz w:val="24"/>
                <w:szCs w:val="24"/>
              </w:rPr>
              <w:t>（</w:t>
            </w:r>
            <w:r>
              <w:rPr>
                <w:rFonts w:ascii="Arial" w:hAnsi="Arial" w:eastAsia="仿宋_GB2312" w:cs="Arial"/>
                <w:sz w:val="24"/>
                <w:szCs w:val="24"/>
              </w:rPr>
              <w:t>1</w:t>
            </w:r>
            <w:r>
              <w:rPr>
                <w:rFonts w:hint="eastAsia" w:ascii="Arial" w:hAnsi="Arial" w:eastAsia="仿宋_GB2312" w:cs="Arial"/>
                <w:sz w:val="24"/>
                <w:szCs w:val="24"/>
              </w:rPr>
              <w:t>）</w:t>
            </w:r>
            <w:r>
              <w:rPr>
                <w:rFonts w:ascii="Arial" w:hAnsi="Arial" w:eastAsia="仿宋_GB2312" w:cs="Arial"/>
                <w:sz w:val="24"/>
                <w:szCs w:val="24"/>
              </w:rPr>
              <w:t>贝恩资本</w:t>
            </w:r>
            <w:r>
              <w:rPr>
                <w:rFonts w:hint="eastAsia" w:ascii="Arial" w:hAnsi="Arial" w:eastAsia="仿宋_GB2312" w:cs="Arial"/>
                <w:sz w:val="24"/>
                <w:szCs w:val="24"/>
              </w:rPr>
              <w:t>管理的基金</w:t>
            </w:r>
            <w:r>
              <w:rPr>
                <w:rFonts w:ascii="Arial" w:hAnsi="Arial" w:eastAsia="仿宋_GB2312" w:cs="Arial"/>
                <w:sz w:val="24"/>
                <w:szCs w:val="24"/>
              </w:rPr>
              <w:t>与</w:t>
            </w:r>
            <w:r>
              <w:rPr>
                <w:rFonts w:hint="eastAsia" w:ascii="Arial" w:hAnsi="Arial" w:eastAsia="仿宋_GB2312" w:cs="Arial"/>
                <w:sz w:val="24"/>
                <w:szCs w:val="24"/>
              </w:rPr>
              <w:t>（2）</w:t>
            </w:r>
            <w:r>
              <w:rPr>
                <w:rFonts w:ascii="Arial" w:hAnsi="Arial" w:eastAsia="仿宋_GB2312" w:cs="Arial"/>
                <w:sz w:val="24"/>
                <w:szCs w:val="24"/>
              </w:rPr>
              <w:t>目标公司现有股东Barolo Mezz B.V.（以下简称</w:t>
            </w:r>
            <w:r>
              <w:rPr>
                <w:rFonts w:hint="eastAsia" w:ascii="仿宋_GB2312" w:hAnsi="Arial" w:eastAsia="仿宋_GB2312" w:cs="Arial"/>
                <w:sz w:val="24"/>
                <w:szCs w:val="24"/>
              </w:rPr>
              <w:t>“</w:t>
            </w:r>
            <w:r>
              <w:rPr>
                <w:rFonts w:ascii="Arial" w:hAnsi="Arial" w:eastAsia="仿宋_GB2312" w:cs="Arial"/>
                <w:b/>
                <w:sz w:val="24"/>
                <w:szCs w:val="24"/>
              </w:rPr>
              <w:t>Barolo</w:t>
            </w:r>
            <w:r>
              <w:rPr>
                <w:rFonts w:hint="eastAsia" w:ascii="仿宋_GB2312" w:hAnsi="Arial" w:eastAsia="仿宋_GB2312" w:cs="Arial"/>
                <w:sz w:val="24"/>
                <w:szCs w:val="24"/>
              </w:rPr>
              <w:t>”</w:t>
            </w:r>
            <w:r>
              <w:rPr>
                <w:rFonts w:ascii="Arial" w:hAnsi="Arial" w:eastAsia="仿宋_GB2312" w:cs="Arial"/>
                <w:sz w:val="24"/>
                <w:szCs w:val="24"/>
              </w:rPr>
              <w:t>）共同控制。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8" w:hRule="atLeast"/>
        </w:trPr>
        <w:tc>
          <w:tcPr>
            <w:tcW w:w="1809" w:type="dxa"/>
            <w:vMerge w:val="restart"/>
            <w:shd w:val="clear" w:color="auto" w:fill="D8D8D8" w:themeFill="background1" w:themeFillShade="D9"/>
          </w:tcPr>
          <w:p>
            <w:pPr>
              <w:spacing w:line="500" w:lineRule="exact"/>
              <w:rPr>
                <w:rFonts w:ascii="Arial" w:hAnsi="Arial" w:eastAsia="仿宋_GB2312" w:cs="Arial"/>
                <w:sz w:val="24"/>
                <w:szCs w:val="24"/>
              </w:rPr>
            </w:pPr>
            <w:r>
              <w:rPr>
                <w:rFonts w:ascii="Arial" w:hAnsi="Arial" w:eastAsia="仿宋_GB2312" w:cs="Arial"/>
                <w:sz w:val="24"/>
                <w:szCs w:val="24"/>
              </w:rPr>
              <w:t>参与集中的经营者简介</w:t>
            </w:r>
          </w:p>
        </w:tc>
        <w:tc>
          <w:tcPr>
            <w:tcW w:w="1796" w:type="dxa"/>
          </w:tcPr>
          <w:p>
            <w:pPr>
              <w:numPr>
                <w:ilvl w:val="0"/>
                <w:numId w:val="1"/>
              </w:numPr>
              <w:ind w:left="0" w:firstLine="0"/>
              <w:jc w:val="left"/>
              <w:rPr>
                <w:rFonts w:ascii="Arial" w:hAnsi="Arial" w:eastAsia="仿宋_GB2312" w:cs="Arial"/>
                <w:sz w:val="24"/>
                <w:szCs w:val="24"/>
              </w:rPr>
            </w:pPr>
            <w:r>
              <w:rPr>
                <w:rFonts w:ascii="Arial" w:hAnsi="Arial" w:eastAsia="仿宋_GB2312" w:cs="Arial"/>
                <w:sz w:val="24"/>
                <w:szCs w:val="24"/>
              </w:rPr>
              <w:t>贝恩资本</w:t>
            </w:r>
          </w:p>
        </w:tc>
        <w:tc>
          <w:tcPr>
            <w:tcW w:w="5153" w:type="dxa"/>
          </w:tcPr>
          <w:p>
            <w:pPr>
              <w:jc w:val="left"/>
              <w:rPr>
                <w:rFonts w:ascii="Arial" w:hAnsi="Arial" w:eastAsia="仿宋_GB2312" w:cs="Arial"/>
                <w:sz w:val="24"/>
                <w:szCs w:val="24"/>
              </w:rPr>
            </w:pPr>
            <w:r>
              <w:rPr>
                <w:rFonts w:ascii="Arial" w:hAnsi="Arial" w:eastAsia="仿宋_GB2312" w:cs="Arial"/>
                <w:sz w:val="24"/>
                <w:szCs w:val="24"/>
              </w:rPr>
              <w:t>一家依据美国法律设立和存续的有限责任公司，成立于2000年5月11日，作为一家私募股权投资企业，通过其旗下基金在全球范围内的诸多行业领域（包括技术、媒体和电信、医疗保健、零售和消费产品、金融和商业服务以及工业/制造业）开展投资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4" w:hRule="atLeast"/>
        </w:trPr>
        <w:tc>
          <w:tcPr>
            <w:tcW w:w="1809" w:type="dxa"/>
            <w:vMerge w:val="continue"/>
            <w:shd w:val="clear" w:color="auto" w:fill="D8D8D8" w:themeFill="background1" w:themeFillShade="D9"/>
          </w:tcPr>
          <w:p>
            <w:pPr>
              <w:spacing w:line="500" w:lineRule="exact"/>
              <w:rPr>
                <w:rFonts w:ascii="Arial" w:hAnsi="Arial" w:eastAsia="仿宋_GB2312" w:cs="Arial"/>
                <w:sz w:val="24"/>
                <w:szCs w:val="24"/>
              </w:rPr>
            </w:pPr>
          </w:p>
        </w:tc>
        <w:tc>
          <w:tcPr>
            <w:tcW w:w="1796" w:type="dxa"/>
          </w:tcPr>
          <w:p>
            <w:pPr>
              <w:numPr>
                <w:ilvl w:val="0"/>
                <w:numId w:val="1"/>
              </w:numPr>
              <w:jc w:val="left"/>
              <w:rPr>
                <w:rFonts w:ascii="Arial" w:hAnsi="Arial" w:eastAsia="仿宋_GB2312" w:cs="Arial"/>
                <w:sz w:val="24"/>
                <w:szCs w:val="24"/>
              </w:rPr>
            </w:pPr>
            <w:r>
              <w:rPr>
                <w:rFonts w:ascii="Arial" w:hAnsi="Arial" w:eastAsia="仿宋_GB2312" w:cs="Arial"/>
                <w:sz w:val="24"/>
                <w:szCs w:val="24"/>
              </w:rPr>
              <w:t>Barolo</w:t>
            </w:r>
          </w:p>
        </w:tc>
        <w:tc>
          <w:tcPr>
            <w:tcW w:w="5153" w:type="dxa"/>
          </w:tcPr>
          <w:p>
            <w:pPr>
              <w:jc w:val="left"/>
              <w:rPr>
                <w:rFonts w:ascii="Arial" w:hAnsi="Arial" w:eastAsia="仿宋_GB2312" w:cs="Arial"/>
                <w:sz w:val="24"/>
                <w:szCs w:val="24"/>
              </w:rPr>
            </w:pPr>
            <w:r>
              <w:rPr>
                <w:rFonts w:ascii="Arial" w:hAnsi="Arial" w:eastAsia="仿宋_GB2312" w:cs="Arial"/>
                <w:sz w:val="24"/>
                <w:szCs w:val="24"/>
              </w:rPr>
              <w:t>Barolo于2019</w:t>
            </w:r>
            <w:r>
              <w:rPr>
                <w:rFonts w:hint="eastAsia" w:ascii="Arial" w:hAnsi="Arial" w:eastAsia="仿宋_GB2312" w:cs="Arial"/>
                <w:sz w:val="24"/>
                <w:szCs w:val="24"/>
              </w:rPr>
              <w:t>年1</w:t>
            </w:r>
            <w:r>
              <w:rPr>
                <w:rFonts w:ascii="Arial" w:hAnsi="Arial" w:eastAsia="仿宋_GB2312" w:cs="Arial"/>
                <w:sz w:val="24"/>
                <w:szCs w:val="24"/>
              </w:rPr>
              <w:t>0</w:t>
            </w:r>
            <w:r>
              <w:rPr>
                <w:rFonts w:hint="eastAsia" w:ascii="Arial" w:hAnsi="Arial" w:eastAsia="仿宋_GB2312" w:cs="Arial"/>
                <w:sz w:val="24"/>
                <w:szCs w:val="24"/>
              </w:rPr>
              <w:t>月8日</w:t>
            </w:r>
            <w:r>
              <w:rPr>
                <w:rFonts w:ascii="Arial" w:hAnsi="Arial" w:eastAsia="仿宋_GB2312" w:cs="Arial"/>
                <w:sz w:val="24"/>
                <w:szCs w:val="24"/>
              </w:rPr>
              <w:t>在荷兰成立，</w:t>
            </w:r>
            <w:r>
              <w:rPr>
                <w:rFonts w:hint="eastAsia" w:ascii="Arial" w:hAnsi="Arial" w:eastAsia="仿宋_GB2312" w:cs="Arial"/>
                <w:sz w:val="24"/>
                <w:szCs w:val="24"/>
              </w:rPr>
              <w:t>是一家</w:t>
            </w:r>
            <w:r>
              <w:rPr>
                <w:rFonts w:ascii="Arial" w:hAnsi="Arial" w:eastAsia="仿宋_GB2312" w:cs="Arial"/>
                <w:sz w:val="24"/>
                <w:szCs w:val="24"/>
              </w:rPr>
              <w:t>由Baring Private Equity Asia（以下简称</w:t>
            </w:r>
            <w:r>
              <w:rPr>
                <w:rFonts w:hint="eastAsia" w:ascii="仿宋_GB2312" w:hAnsi="Arial" w:eastAsia="仿宋_GB2312" w:cs="Arial"/>
                <w:sz w:val="24"/>
                <w:szCs w:val="24"/>
              </w:rPr>
              <w:t>“</w:t>
            </w:r>
            <w:r>
              <w:rPr>
                <w:rFonts w:ascii="Arial" w:hAnsi="Arial" w:eastAsia="仿宋_GB2312" w:cs="Arial"/>
                <w:b/>
                <w:sz w:val="24"/>
                <w:szCs w:val="24"/>
              </w:rPr>
              <w:t>霸菱亚洲</w:t>
            </w:r>
            <w:r>
              <w:rPr>
                <w:rFonts w:hint="eastAsia" w:ascii="仿宋_GB2312" w:hAnsi="Arial" w:eastAsia="仿宋_GB2312" w:cs="Arial"/>
                <w:sz w:val="24"/>
                <w:szCs w:val="24"/>
              </w:rPr>
              <w:t>”</w:t>
            </w:r>
            <w:r>
              <w:rPr>
                <w:rFonts w:ascii="Arial" w:hAnsi="Arial" w:eastAsia="仿宋_GB2312" w:cs="Arial"/>
                <w:sz w:val="24"/>
                <w:szCs w:val="24"/>
              </w:rPr>
              <w:t>）管理的基金间接全资拥有</w:t>
            </w:r>
            <w:r>
              <w:rPr>
                <w:rFonts w:hint="eastAsia" w:ascii="Arial" w:hAnsi="Arial" w:eastAsia="仿宋_GB2312" w:cs="Arial"/>
                <w:sz w:val="24"/>
                <w:szCs w:val="24"/>
              </w:rPr>
              <w:t>的实体</w:t>
            </w:r>
            <w:r>
              <w:rPr>
                <w:rFonts w:ascii="Arial" w:hAnsi="Arial" w:eastAsia="仿宋_GB2312" w:cs="Arial"/>
                <w:sz w:val="24"/>
                <w:szCs w:val="24"/>
              </w:rPr>
              <w:t>。</w:t>
            </w:r>
          </w:p>
          <w:p>
            <w:pPr>
              <w:jc w:val="left"/>
              <w:rPr>
                <w:rFonts w:ascii="Arial" w:hAnsi="Arial" w:eastAsia="仿宋_GB2312" w:cs="Arial"/>
                <w:sz w:val="24"/>
                <w:szCs w:val="24"/>
              </w:rPr>
            </w:pPr>
          </w:p>
          <w:p>
            <w:pPr>
              <w:snapToGrid w:val="0"/>
              <w:jc w:val="left"/>
              <w:rPr>
                <w:rFonts w:ascii="Arial" w:hAnsi="Arial" w:eastAsia="仿宋_GB2312" w:cs="Arial"/>
                <w:sz w:val="24"/>
                <w:szCs w:val="24"/>
              </w:rPr>
            </w:pPr>
            <w:r>
              <w:rPr>
                <w:rFonts w:ascii="Arial" w:hAnsi="Arial" w:eastAsia="仿宋_GB2312" w:cs="Arial"/>
                <w:sz w:val="24"/>
                <w:szCs w:val="24"/>
              </w:rPr>
              <w:t>霸菱亚洲集团总部位于香港和新加坡，是一家泛亚</w:t>
            </w:r>
            <w:r>
              <w:rPr>
                <w:rFonts w:hint="eastAsia" w:ascii="Arial" w:hAnsi="Arial" w:eastAsia="仿宋_GB2312" w:cs="Arial"/>
                <w:sz w:val="24"/>
                <w:szCs w:val="24"/>
              </w:rPr>
              <w:t>私募投资公司。霸菱亚洲集团及其关联企业为活跃于多个不同行业的私募股权基金提供基金管理服务，包括教育、商业服务、制造、物流、医疗保健和消费行业。</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9" w:hRule="atLeast"/>
        </w:trPr>
        <w:tc>
          <w:tcPr>
            <w:tcW w:w="1809" w:type="dxa"/>
            <w:vMerge w:val="restart"/>
            <w:shd w:val="clear" w:color="auto" w:fill="D8D8D8" w:themeFill="background1" w:themeFillShade="D9"/>
          </w:tcPr>
          <w:p>
            <w:pPr>
              <w:spacing w:line="500" w:lineRule="exact"/>
              <w:rPr>
                <w:rFonts w:ascii="Arial" w:hAnsi="Arial" w:eastAsia="仿宋_GB2312" w:cs="Arial"/>
                <w:sz w:val="24"/>
                <w:szCs w:val="24"/>
              </w:rPr>
            </w:pPr>
            <w:r>
              <w:rPr>
                <w:rFonts w:ascii="Arial" w:hAnsi="Arial" w:eastAsia="仿宋_GB2312" w:cs="Arial"/>
                <w:sz w:val="24"/>
                <w:szCs w:val="24"/>
              </w:rPr>
              <w:t>简易案件理由（可多选）</w:t>
            </w:r>
          </w:p>
        </w:tc>
        <w:tc>
          <w:tcPr>
            <w:tcW w:w="6949" w:type="dxa"/>
            <w:gridSpan w:val="2"/>
          </w:tcPr>
          <w:p>
            <w:pPr>
              <w:jc w:val="left"/>
              <w:rPr>
                <w:rFonts w:ascii="Arial" w:hAnsi="Arial" w:eastAsia="仿宋_GB2312" w:cs="Arial"/>
                <w:sz w:val="24"/>
                <w:szCs w:val="24"/>
              </w:rPr>
            </w:pPr>
            <w:r>
              <w:rPr>
                <w:rFonts w:ascii="Arial" w:hAnsi="Arial" w:eastAsia="仿宋_GB2312" w:cs="Arial"/>
                <w:sz w:val="24"/>
                <w:szCs w:val="24"/>
              </w:rPr>
              <w:sym w:font="Wingdings" w:char="F0A8"/>
            </w:r>
            <w:r>
              <w:rPr>
                <w:rFonts w:ascii="Arial" w:hAnsi="Arial" w:eastAsia="仿宋_GB2312" w:cs="Arial"/>
                <w:sz w:val="24"/>
                <w:szCs w:val="24"/>
              </w:rPr>
              <w:t>1. 在同一相关市场，所有参与集中的经营者所占市场份额之和小于15%。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trPr>
        <w:tc>
          <w:tcPr>
            <w:tcW w:w="1809" w:type="dxa"/>
            <w:vMerge w:val="continue"/>
            <w:shd w:val="clear" w:color="auto" w:fill="D8D8D8" w:themeFill="background1" w:themeFillShade="D9"/>
          </w:tcPr>
          <w:p>
            <w:pPr>
              <w:spacing w:line="500" w:lineRule="exact"/>
              <w:rPr>
                <w:rFonts w:ascii="Arial" w:hAnsi="Arial" w:eastAsia="仿宋_GB2312" w:cs="Arial"/>
                <w:sz w:val="24"/>
                <w:szCs w:val="24"/>
              </w:rPr>
            </w:pPr>
          </w:p>
        </w:tc>
        <w:tc>
          <w:tcPr>
            <w:tcW w:w="6949" w:type="dxa"/>
            <w:gridSpan w:val="2"/>
          </w:tcPr>
          <w:p>
            <w:pPr>
              <w:jc w:val="left"/>
              <w:rPr>
                <w:rFonts w:ascii="Arial" w:hAnsi="Arial" w:eastAsia="仿宋_GB2312" w:cs="Arial"/>
                <w:sz w:val="24"/>
                <w:szCs w:val="24"/>
              </w:rPr>
            </w:pPr>
            <w:r>
              <w:rPr>
                <w:rFonts w:ascii="Arial" w:hAnsi="Arial" w:eastAsia="仿宋_GB2312" w:cs="Arial"/>
                <w:sz w:val="24"/>
                <w:szCs w:val="24"/>
              </w:rPr>
              <w:sym w:font="Wingdings" w:char="F0A8"/>
            </w:r>
            <w:r>
              <w:rPr>
                <w:rFonts w:ascii="Arial" w:hAnsi="Arial" w:eastAsia="仿宋_GB2312" w:cs="Arial"/>
                <w:sz w:val="24"/>
                <w:szCs w:val="24"/>
              </w:rPr>
              <w:t>2. 存在上下游关系的参与集中的经营者，在上下游市场所占的市场份额均小于25%。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1809" w:type="dxa"/>
            <w:vMerge w:val="continue"/>
            <w:shd w:val="clear" w:color="auto" w:fill="D8D8D8" w:themeFill="background1" w:themeFillShade="D9"/>
          </w:tcPr>
          <w:p>
            <w:pPr>
              <w:spacing w:line="500" w:lineRule="exact"/>
              <w:rPr>
                <w:rFonts w:ascii="Arial" w:hAnsi="Arial" w:eastAsia="仿宋_GB2312" w:cs="Arial"/>
                <w:sz w:val="24"/>
                <w:szCs w:val="24"/>
              </w:rPr>
            </w:pPr>
          </w:p>
        </w:tc>
        <w:tc>
          <w:tcPr>
            <w:tcW w:w="6949" w:type="dxa"/>
            <w:gridSpan w:val="2"/>
          </w:tcPr>
          <w:p>
            <w:pPr>
              <w:jc w:val="left"/>
              <w:rPr>
                <w:rFonts w:ascii="Arial" w:hAnsi="Arial" w:eastAsia="仿宋_GB2312" w:cs="Arial"/>
                <w:sz w:val="24"/>
                <w:szCs w:val="24"/>
              </w:rPr>
            </w:pPr>
            <w:r>
              <w:rPr>
                <w:rFonts w:ascii="Arial" w:hAnsi="Arial" w:eastAsia="仿宋_GB2312" w:cs="Arial"/>
                <w:sz w:val="24"/>
                <w:szCs w:val="24"/>
              </w:rPr>
              <w:sym w:font="Wingdings" w:char="F0A8"/>
            </w:r>
            <w:r>
              <w:rPr>
                <w:rFonts w:ascii="Arial" w:hAnsi="Arial" w:eastAsia="仿宋_GB2312" w:cs="Arial"/>
                <w:sz w:val="24"/>
                <w:szCs w:val="24"/>
              </w:rPr>
              <w:t>3. 不在同一相关市场、也不存在上下游关系的参与集中的经营者，在与交易有关的每个市场所占的份额均小于25%。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2" w:hRule="atLeast"/>
        </w:trPr>
        <w:tc>
          <w:tcPr>
            <w:tcW w:w="1809" w:type="dxa"/>
            <w:vMerge w:val="continue"/>
            <w:shd w:val="clear" w:color="auto" w:fill="D8D8D8" w:themeFill="background1" w:themeFillShade="D9"/>
          </w:tcPr>
          <w:p>
            <w:pPr>
              <w:spacing w:line="500" w:lineRule="exact"/>
              <w:rPr>
                <w:rFonts w:ascii="Arial" w:hAnsi="Arial" w:eastAsia="仿宋_GB2312" w:cs="Arial"/>
                <w:sz w:val="24"/>
                <w:szCs w:val="24"/>
              </w:rPr>
            </w:pPr>
          </w:p>
        </w:tc>
        <w:tc>
          <w:tcPr>
            <w:tcW w:w="6949" w:type="dxa"/>
            <w:gridSpan w:val="2"/>
          </w:tcPr>
          <w:p>
            <w:pPr>
              <w:jc w:val="left"/>
              <w:rPr>
                <w:rFonts w:ascii="Arial" w:hAnsi="Arial" w:eastAsia="仿宋_GB2312" w:cs="Arial"/>
                <w:sz w:val="24"/>
                <w:szCs w:val="24"/>
              </w:rPr>
            </w:pPr>
            <w:r>
              <w:rPr>
                <w:rFonts w:ascii="Arial" w:hAnsi="Arial" w:eastAsia="仿宋_GB2312" w:cs="Arial"/>
                <w:sz w:val="24"/>
                <w:szCs w:val="24"/>
              </w:rPr>
              <w:sym w:font="Wingdings" w:char="F0A8"/>
            </w:r>
            <w:r>
              <w:rPr>
                <w:rFonts w:ascii="Arial" w:hAnsi="Arial" w:eastAsia="仿宋_GB2312" w:cs="Arial"/>
                <w:sz w:val="24"/>
                <w:szCs w:val="24"/>
              </w:rPr>
              <w:t>4. 参与集中的经营者在中国境外设立合营企业，合营企业不在中国境内从事经济活动。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4" w:hRule="atLeast"/>
        </w:trPr>
        <w:tc>
          <w:tcPr>
            <w:tcW w:w="1809" w:type="dxa"/>
            <w:vMerge w:val="continue"/>
            <w:shd w:val="clear" w:color="auto" w:fill="D8D8D8" w:themeFill="background1" w:themeFillShade="D9"/>
          </w:tcPr>
          <w:p>
            <w:pPr>
              <w:spacing w:line="500" w:lineRule="exact"/>
              <w:rPr>
                <w:rFonts w:ascii="Arial" w:hAnsi="Arial" w:eastAsia="仿宋_GB2312" w:cs="Arial"/>
                <w:sz w:val="24"/>
                <w:szCs w:val="24"/>
              </w:rPr>
            </w:pPr>
          </w:p>
        </w:tc>
        <w:tc>
          <w:tcPr>
            <w:tcW w:w="6949" w:type="dxa"/>
            <w:gridSpan w:val="2"/>
          </w:tcPr>
          <w:p>
            <w:pPr>
              <w:jc w:val="left"/>
              <w:rPr>
                <w:rFonts w:ascii="Arial" w:hAnsi="Arial" w:eastAsia="仿宋_GB2312" w:cs="Arial"/>
                <w:b/>
                <w:bCs/>
                <w:sz w:val="24"/>
                <w:szCs w:val="24"/>
              </w:rPr>
            </w:pPr>
            <w:r>
              <w:rPr>
                <w:rFonts w:ascii="Arial" w:hAnsi="Arial" w:eastAsia="仿宋_GB2312" w:cs="Arial"/>
                <w:b/>
                <w:bCs/>
                <w:kern w:val="0"/>
                <w:sz w:val="24"/>
                <w:szCs w:val="24"/>
              </w:rPr>
              <w:sym w:font="Wingdings" w:char="F0FE"/>
            </w:r>
            <w:r>
              <w:rPr>
                <w:rFonts w:ascii="Arial" w:hAnsi="Arial" w:eastAsia="仿宋_GB2312" w:cs="Arial"/>
                <w:b/>
                <w:bCs/>
                <w:sz w:val="24"/>
                <w:szCs w:val="24"/>
              </w:rPr>
              <w:t>5. 参与集中的经营者收购境外企业股权或资产的，该境外企业不在中国境内从事经济活动。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5" w:hRule="atLeast"/>
        </w:trPr>
        <w:tc>
          <w:tcPr>
            <w:tcW w:w="1809" w:type="dxa"/>
            <w:vMerge w:val="continue"/>
            <w:shd w:val="clear" w:color="auto" w:fill="D8D8D8" w:themeFill="background1" w:themeFillShade="D9"/>
          </w:tcPr>
          <w:p>
            <w:pPr>
              <w:spacing w:line="500" w:lineRule="exact"/>
              <w:rPr>
                <w:rFonts w:ascii="Arial" w:hAnsi="Arial" w:eastAsia="仿宋_GB2312" w:cs="Arial"/>
                <w:sz w:val="24"/>
                <w:szCs w:val="24"/>
              </w:rPr>
            </w:pPr>
          </w:p>
        </w:tc>
        <w:tc>
          <w:tcPr>
            <w:tcW w:w="6949" w:type="dxa"/>
            <w:gridSpan w:val="2"/>
          </w:tcPr>
          <w:p>
            <w:pPr>
              <w:jc w:val="left"/>
              <w:rPr>
                <w:rFonts w:ascii="Arial" w:hAnsi="Arial" w:eastAsia="仿宋_GB2312" w:cs="Arial"/>
                <w:sz w:val="24"/>
                <w:szCs w:val="24"/>
              </w:rPr>
            </w:pPr>
            <w:r>
              <w:rPr>
                <w:rFonts w:ascii="Arial" w:hAnsi="Arial" w:eastAsia="仿宋_GB2312" w:cs="Arial"/>
                <w:sz w:val="24"/>
                <w:szCs w:val="24"/>
              </w:rPr>
              <w:sym w:font="Wingdings" w:char="F0A8"/>
            </w:r>
            <w:r>
              <w:rPr>
                <w:rFonts w:ascii="Arial" w:hAnsi="Arial" w:eastAsia="仿宋_GB2312" w:cs="Arial"/>
                <w:sz w:val="24"/>
                <w:szCs w:val="24"/>
              </w:rPr>
              <w:t>6. 由两个以上的经营者共同控制的合营企业，通过集中被其中一个或一个以上经营者控制。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3" w:hRule="atLeast"/>
        </w:trPr>
        <w:tc>
          <w:tcPr>
            <w:tcW w:w="1809" w:type="dxa"/>
            <w:shd w:val="clear" w:color="auto" w:fill="D8D8D8" w:themeFill="background1" w:themeFillShade="D9"/>
          </w:tcPr>
          <w:p>
            <w:pPr>
              <w:spacing w:line="500" w:lineRule="exact"/>
              <w:rPr>
                <w:rFonts w:ascii="Arial" w:hAnsi="Arial" w:eastAsia="仿宋_GB2312" w:cs="Arial"/>
                <w:sz w:val="24"/>
                <w:szCs w:val="24"/>
              </w:rPr>
            </w:pPr>
            <w:r>
              <w:rPr>
                <w:rFonts w:ascii="Arial" w:hAnsi="Arial" w:eastAsia="仿宋_GB2312" w:cs="Arial"/>
                <w:sz w:val="24"/>
                <w:szCs w:val="24"/>
              </w:rPr>
              <w:t>备注</w:t>
            </w:r>
          </w:p>
        </w:tc>
        <w:tc>
          <w:tcPr>
            <w:tcW w:w="6949" w:type="dxa"/>
            <w:gridSpan w:val="2"/>
            <w:vAlign w:val="center"/>
          </w:tcPr>
          <w:p>
            <w:pPr>
              <w:jc w:val="both"/>
              <w:rPr>
                <w:rFonts w:ascii="Arial" w:hAnsi="Arial" w:eastAsia="仿宋_GB2312" w:cs="Arial"/>
                <w:bCs/>
                <w:sz w:val="24"/>
                <w:szCs w:val="24"/>
              </w:rPr>
            </w:pPr>
            <w:r>
              <w:rPr>
                <w:rFonts w:ascii="Arial" w:hAnsi="Arial" w:eastAsia="仿宋_GB2312" w:cs="Arial"/>
                <w:bCs/>
                <w:sz w:val="24"/>
                <w:szCs w:val="24"/>
              </w:rPr>
              <w:t>不适用</w:t>
            </w:r>
            <w:bookmarkStart w:id="0" w:name="_GoBack"/>
            <w:bookmarkEnd w:id="0"/>
          </w:p>
        </w:tc>
      </w:tr>
    </w:tbl>
    <w:p>
      <w:pPr>
        <w:jc w:val="left"/>
        <w:rPr>
          <w:rFonts w:ascii="Arial" w:hAnsi="Arial" w:eastAsia="仿宋_GB2312" w:cs="Arial"/>
          <w:sz w:val="24"/>
          <w:szCs w:val="24"/>
        </w:rPr>
      </w:pPr>
    </w:p>
    <w:sectPr>
      <w:footerReference r:id="rId3" w:type="default"/>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方正书宋_GBK"/>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altName w:val="Times New Roman"/>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altName w:val="DejaVu Sans"/>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altName w:val="微软雅黑"/>
    <w:panose1 w:val="020F0502020204030204"/>
    <w:charset w:val="00"/>
    <w:family w:val="swiss"/>
    <w:pitch w:val="default"/>
    <w:sig w:usb0="00000000" w:usb1="00000000" w:usb2="00000001" w:usb3="00000000" w:csb0="0000019F" w:csb1="00000000"/>
  </w:font>
  <w:font w:name="Arial">
    <w:altName w:val="Times New Roman"/>
    <w:panose1 w:val="020B0604020202020204"/>
    <w:charset w:val="00"/>
    <w:family w:val="swiss"/>
    <w:pitch w:val="default"/>
    <w:sig w:usb0="00000000" w:usb1="00000000" w:usb2="00000009" w:usb3="00000000" w:csb0="000001FF" w:csb1="00000000"/>
  </w:font>
  <w:font w:name="仿宋_GB2312">
    <w:panose1 w:val="02010609030101010101"/>
    <w:charset w:val="86"/>
    <w:family w:val="modern"/>
    <w:pitch w:val="default"/>
    <w:sig w:usb0="00000001" w:usb1="080E0000" w:usb2="00000000" w:usb3="00000000" w:csb0="00040000" w:csb1="00000000"/>
  </w:font>
  <w:font w:name="方正书宋_GBK">
    <w:panose1 w:val="02000000000000000000"/>
    <w:charset w:val="86"/>
    <w:family w:val="auto"/>
    <w:pitch w:val="default"/>
    <w:sig w:usb0="00000001" w:usb1="08000000" w:usb2="00000000" w:usb3="00000000" w:csb0="00040000" w:csb1="00000000"/>
  </w:font>
  <w:font w:name="DejaVu Sans">
    <w:panose1 w:val="020B0603030804020204"/>
    <w:charset w:val="00"/>
    <w:family w:val="auto"/>
    <w:pitch w:val="default"/>
    <w:sig w:usb0="E7006EFF" w:usb1="D200FDFF" w:usb2="0A246029" w:usb3="0400200C" w:csb0="600001FF" w:csb1="DFFF0000"/>
  </w:font>
  <w:font w:name="Liberation Serif">
    <w:panose1 w:val="02020603050405020304"/>
    <w:charset w:val="00"/>
    <w:family w:val="auto"/>
    <w:pitch w:val="default"/>
    <w:sig w:usb0="A00002AF" w:usb1="500078FB" w:usb2="00000000" w:usb3="00000000" w:csb0="6000009F" w:csb1="DFD70000"/>
  </w:font>
  <w:font w:name="微软雅黑">
    <w:panose1 w:val="020B0503020204020204"/>
    <w:charset w:val="86"/>
    <w:family w:val="auto"/>
    <w:pitch w:val="default"/>
    <w:sig w:usb0="80000287" w:usb1="2A0F3C52"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rPr>
        <w:rFonts w:ascii="Arial" w:hAnsi="Arial" w:cs="Arial"/>
      </w:rPr>
      <w:id w:val="-485935968"/>
      <w:docPartObj>
        <w:docPartGallery w:val="AutoText"/>
      </w:docPartObj>
    </w:sdtPr>
    <w:sdtEndPr>
      <w:rPr>
        <w:rFonts w:ascii="Arial" w:hAnsi="Arial" w:cs="Arial"/>
      </w:rPr>
    </w:sdtEndPr>
    <w:sdtContent>
      <w:sdt>
        <w:sdtPr>
          <w:rPr>
            <w:rFonts w:ascii="Arial" w:hAnsi="Arial" w:cs="Arial"/>
          </w:rPr>
          <w:id w:val="1728636285"/>
          <w:docPartObj>
            <w:docPartGallery w:val="AutoText"/>
          </w:docPartObj>
        </w:sdtPr>
        <w:sdtEndPr>
          <w:rPr>
            <w:rFonts w:ascii="Arial" w:hAnsi="Arial" w:cs="Arial"/>
          </w:rPr>
        </w:sdtEndPr>
        <w:sdtContent>
          <w:p>
            <w:pPr>
              <w:pStyle w:val="5"/>
              <w:jc w:val="center"/>
              <w:rPr>
                <w:rFonts w:ascii="Arial" w:hAnsi="Arial" w:cs="Arial"/>
              </w:rPr>
            </w:pPr>
            <w:r>
              <w:rPr>
                <w:rFonts w:ascii="Arial" w:hAnsi="Arial" w:cs="Arial"/>
                <w:lang w:val="zh-CN"/>
              </w:rPr>
              <w:t xml:space="preserve"> </w:t>
            </w:r>
            <w:r>
              <w:rPr>
                <w:rFonts w:ascii="Arial" w:hAnsi="Arial" w:cs="Arial"/>
                <w:b/>
                <w:bCs/>
                <w:sz w:val="24"/>
                <w:szCs w:val="24"/>
              </w:rPr>
              <w:fldChar w:fldCharType="begin"/>
            </w:r>
            <w:r>
              <w:rPr>
                <w:rFonts w:ascii="Arial" w:hAnsi="Arial" w:cs="Arial"/>
                <w:b/>
                <w:bCs/>
              </w:rPr>
              <w:instrText xml:space="preserve">PAGE</w:instrText>
            </w:r>
            <w:r>
              <w:rPr>
                <w:rFonts w:ascii="Arial" w:hAnsi="Arial" w:cs="Arial"/>
                <w:b/>
                <w:bCs/>
                <w:sz w:val="24"/>
                <w:szCs w:val="24"/>
              </w:rPr>
              <w:fldChar w:fldCharType="separate"/>
            </w:r>
            <w:r>
              <w:rPr>
                <w:rFonts w:ascii="Arial" w:hAnsi="Arial" w:cs="Arial"/>
                <w:b/>
                <w:bCs/>
              </w:rPr>
              <w:t>1</w:t>
            </w:r>
            <w:r>
              <w:rPr>
                <w:rFonts w:ascii="Arial" w:hAnsi="Arial" w:cs="Arial"/>
                <w:b/>
                <w:bCs/>
                <w:sz w:val="24"/>
                <w:szCs w:val="24"/>
              </w:rPr>
              <w:fldChar w:fldCharType="end"/>
            </w:r>
            <w:r>
              <w:rPr>
                <w:rFonts w:ascii="Arial" w:hAnsi="Arial" w:cs="Arial"/>
                <w:lang w:val="zh-CN"/>
              </w:rPr>
              <w:t xml:space="preserve"> / </w:t>
            </w:r>
            <w:r>
              <w:rPr>
                <w:rFonts w:ascii="Arial" w:hAnsi="Arial" w:cs="Arial"/>
                <w:b/>
                <w:bCs/>
                <w:sz w:val="24"/>
                <w:szCs w:val="24"/>
              </w:rPr>
              <w:fldChar w:fldCharType="begin"/>
            </w:r>
            <w:r>
              <w:rPr>
                <w:rFonts w:ascii="Arial" w:hAnsi="Arial" w:cs="Arial"/>
                <w:b/>
                <w:bCs/>
              </w:rPr>
              <w:instrText xml:space="preserve">NUMPAGES</w:instrText>
            </w:r>
            <w:r>
              <w:rPr>
                <w:rFonts w:ascii="Arial" w:hAnsi="Arial" w:cs="Arial"/>
                <w:b/>
                <w:bCs/>
                <w:sz w:val="24"/>
                <w:szCs w:val="24"/>
              </w:rPr>
              <w:fldChar w:fldCharType="separate"/>
            </w:r>
            <w:r>
              <w:rPr>
                <w:rFonts w:ascii="Arial" w:hAnsi="Arial" w:cs="Arial"/>
                <w:b/>
                <w:bCs/>
              </w:rPr>
              <w:t>1</w:t>
            </w:r>
            <w:r>
              <w:rPr>
                <w:rFonts w:ascii="Arial" w:hAnsi="Arial" w:cs="Arial"/>
                <w:b/>
                <w:bCs/>
                <w:sz w:val="24"/>
                <w:szCs w:val="24"/>
              </w:rPr>
              <w:fldChar w:fldCharType="end"/>
            </w:r>
          </w:p>
        </w:sdtContent>
      </w:sdt>
    </w:sdtContent>
  </w:sdt>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9AA4B8E"/>
    <w:multiLevelType w:val="multilevel"/>
    <w:tmpl w:val="19AA4B8E"/>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bordersDoNotSurroundHeader w:val="true"/>
  <w:bordersDoNotSurroundFooter w:val="true"/>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94095"/>
    <w:rsid w:val="000043FE"/>
    <w:rsid w:val="000152B3"/>
    <w:rsid w:val="00033FDB"/>
    <w:rsid w:val="00050C31"/>
    <w:rsid w:val="00051C75"/>
    <w:rsid w:val="00075455"/>
    <w:rsid w:val="00090C85"/>
    <w:rsid w:val="00094095"/>
    <w:rsid w:val="000D2E60"/>
    <w:rsid w:val="00106D13"/>
    <w:rsid w:val="0014290A"/>
    <w:rsid w:val="00150E03"/>
    <w:rsid w:val="00165C5F"/>
    <w:rsid w:val="0016704D"/>
    <w:rsid w:val="00175AE5"/>
    <w:rsid w:val="00197DF6"/>
    <w:rsid w:val="001B27E8"/>
    <w:rsid w:val="001D478F"/>
    <w:rsid w:val="001E2C45"/>
    <w:rsid w:val="001E3CB6"/>
    <w:rsid w:val="001E5106"/>
    <w:rsid w:val="001F22A4"/>
    <w:rsid w:val="001F3E49"/>
    <w:rsid w:val="002407B8"/>
    <w:rsid w:val="002421BA"/>
    <w:rsid w:val="00260862"/>
    <w:rsid w:val="0029371F"/>
    <w:rsid w:val="002B27F6"/>
    <w:rsid w:val="002B5A91"/>
    <w:rsid w:val="002E0FF2"/>
    <w:rsid w:val="002E1FAB"/>
    <w:rsid w:val="002F362F"/>
    <w:rsid w:val="002F5DB5"/>
    <w:rsid w:val="00300AA8"/>
    <w:rsid w:val="0032447B"/>
    <w:rsid w:val="0032792F"/>
    <w:rsid w:val="003D2345"/>
    <w:rsid w:val="00422713"/>
    <w:rsid w:val="00436DE9"/>
    <w:rsid w:val="00443E39"/>
    <w:rsid w:val="00462174"/>
    <w:rsid w:val="004648AE"/>
    <w:rsid w:val="00470CDE"/>
    <w:rsid w:val="00474AF4"/>
    <w:rsid w:val="004B1900"/>
    <w:rsid w:val="004E64AB"/>
    <w:rsid w:val="004F6BD7"/>
    <w:rsid w:val="0052211F"/>
    <w:rsid w:val="00546F8F"/>
    <w:rsid w:val="0055311F"/>
    <w:rsid w:val="00555158"/>
    <w:rsid w:val="00574C1B"/>
    <w:rsid w:val="005814EE"/>
    <w:rsid w:val="005A2C19"/>
    <w:rsid w:val="005B4607"/>
    <w:rsid w:val="005C4AE3"/>
    <w:rsid w:val="005C5697"/>
    <w:rsid w:val="005F74DE"/>
    <w:rsid w:val="006038FD"/>
    <w:rsid w:val="00631232"/>
    <w:rsid w:val="006928FD"/>
    <w:rsid w:val="006F74D5"/>
    <w:rsid w:val="0071151D"/>
    <w:rsid w:val="0072038D"/>
    <w:rsid w:val="00725714"/>
    <w:rsid w:val="007434F5"/>
    <w:rsid w:val="00761F8F"/>
    <w:rsid w:val="00774D23"/>
    <w:rsid w:val="00792C5D"/>
    <w:rsid w:val="007E66A8"/>
    <w:rsid w:val="00802740"/>
    <w:rsid w:val="0082331E"/>
    <w:rsid w:val="00826CD9"/>
    <w:rsid w:val="008A3EC2"/>
    <w:rsid w:val="008C4537"/>
    <w:rsid w:val="00912E52"/>
    <w:rsid w:val="009311F6"/>
    <w:rsid w:val="00942CDD"/>
    <w:rsid w:val="00981297"/>
    <w:rsid w:val="0099528C"/>
    <w:rsid w:val="009A1AFA"/>
    <w:rsid w:val="009D475D"/>
    <w:rsid w:val="009F51F3"/>
    <w:rsid w:val="00A215C0"/>
    <w:rsid w:val="00A36511"/>
    <w:rsid w:val="00A3663A"/>
    <w:rsid w:val="00A71883"/>
    <w:rsid w:val="00A85090"/>
    <w:rsid w:val="00A86B91"/>
    <w:rsid w:val="00A913EF"/>
    <w:rsid w:val="00AC26DC"/>
    <w:rsid w:val="00AC6727"/>
    <w:rsid w:val="00AD7A40"/>
    <w:rsid w:val="00AF6965"/>
    <w:rsid w:val="00B00C8C"/>
    <w:rsid w:val="00B10B7A"/>
    <w:rsid w:val="00B71B1B"/>
    <w:rsid w:val="00B72739"/>
    <w:rsid w:val="00B81BD4"/>
    <w:rsid w:val="00B94422"/>
    <w:rsid w:val="00BC2FA1"/>
    <w:rsid w:val="00BD605C"/>
    <w:rsid w:val="00BD7A22"/>
    <w:rsid w:val="00C05033"/>
    <w:rsid w:val="00C22538"/>
    <w:rsid w:val="00C300C8"/>
    <w:rsid w:val="00C37B78"/>
    <w:rsid w:val="00C53CBF"/>
    <w:rsid w:val="00C544F8"/>
    <w:rsid w:val="00CA48F1"/>
    <w:rsid w:val="00CC41E5"/>
    <w:rsid w:val="00CC7D37"/>
    <w:rsid w:val="00CE0897"/>
    <w:rsid w:val="00D352C0"/>
    <w:rsid w:val="00D35847"/>
    <w:rsid w:val="00D5033B"/>
    <w:rsid w:val="00D661C7"/>
    <w:rsid w:val="00D86AED"/>
    <w:rsid w:val="00DF5E25"/>
    <w:rsid w:val="00E14001"/>
    <w:rsid w:val="00E2092C"/>
    <w:rsid w:val="00E73881"/>
    <w:rsid w:val="00E74947"/>
    <w:rsid w:val="00EA36A0"/>
    <w:rsid w:val="00EC5206"/>
    <w:rsid w:val="00EE5DF1"/>
    <w:rsid w:val="00F16128"/>
    <w:rsid w:val="00F23AF2"/>
    <w:rsid w:val="00F3653A"/>
    <w:rsid w:val="00F60E13"/>
    <w:rsid w:val="00F62901"/>
    <w:rsid w:val="00F82FFF"/>
    <w:rsid w:val="00F87C1F"/>
    <w:rsid w:val="00FA62E9"/>
    <w:rsid w:val="00FB6E50"/>
    <w:rsid w:val="00FE79C9"/>
    <w:rsid w:val="FF7BDF6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nhideWhenUsed="0" w:uiPriority="99" w:semiHidden="0"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nhideWhenUsed="0" w:uiPriority="99" w:semiHidden="0" w:name="annotation reference"/>
    <w:lsdException w:uiPriority="99" w:name="line number"/>
    <w:lsdException w:uiPriority="99" w:name="page number"/>
    <w:lsdException w:qFormat="1" w:uiPriority="99" w:name="endnote reference"/>
    <w:lsdException w:qFormat="1"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10">
    <w:name w:val="Default Paragraph Font"/>
    <w:semiHidden/>
    <w:unhideWhenUsed/>
    <w:qFormat/>
    <w:uiPriority w:val="1"/>
  </w:style>
  <w:style w:type="table" w:default="1" w:styleId="8">
    <w:name w:val="Normal Table"/>
    <w:semiHidden/>
    <w:unhideWhenUsed/>
    <w:qFormat/>
    <w:uiPriority w:val="99"/>
    <w:tblPr>
      <w:tblCellMar>
        <w:top w:w="0" w:type="dxa"/>
        <w:left w:w="108" w:type="dxa"/>
        <w:bottom w:w="0" w:type="dxa"/>
        <w:right w:w="108" w:type="dxa"/>
      </w:tblCellMar>
    </w:tblPr>
  </w:style>
  <w:style w:type="paragraph" w:styleId="2">
    <w:name w:val="annotation text"/>
    <w:basedOn w:val="1"/>
    <w:link w:val="18"/>
    <w:qFormat/>
    <w:uiPriority w:val="99"/>
    <w:pPr>
      <w:jc w:val="left"/>
    </w:pPr>
    <w:rPr>
      <w:rFonts w:ascii="Times New Roman" w:hAnsi="Times New Roman" w:eastAsia="宋体" w:cs="Times New Roman"/>
      <w:szCs w:val="24"/>
      <w:lang w:val="zh-CN" w:eastAsia="zh-CN"/>
    </w:rPr>
  </w:style>
  <w:style w:type="paragraph" w:styleId="3">
    <w:name w:val="endnote text"/>
    <w:basedOn w:val="1"/>
    <w:link w:val="13"/>
    <w:semiHidden/>
    <w:unhideWhenUsed/>
    <w:qFormat/>
    <w:uiPriority w:val="99"/>
    <w:pPr>
      <w:snapToGrid w:val="0"/>
      <w:jc w:val="left"/>
    </w:pPr>
  </w:style>
  <w:style w:type="paragraph" w:styleId="4">
    <w:name w:val="Balloon Text"/>
    <w:basedOn w:val="1"/>
    <w:link w:val="17"/>
    <w:semiHidden/>
    <w:unhideWhenUsed/>
    <w:qFormat/>
    <w:uiPriority w:val="99"/>
    <w:rPr>
      <w:sz w:val="18"/>
      <w:szCs w:val="18"/>
    </w:rPr>
  </w:style>
  <w:style w:type="paragraph" w:styleId="5">
    <w:name w:val="footer"/>
    <w:basedOn w:val="1"/>
    <w:link w:val="15"/>
    <w:unhideWhenUsed/>
    <w:qFormat/>
    <w:uiPriority w:val="99"/>
    <w:pPr>
      <w:tabs>
        <w:tab w:val="center" w:pos="4153"/>
        <w:tab w:val="right" w:pos="8306"/>
      </w:tabs>
      <w:snapToGrid w:val="0"/>
      <w:jc w:val="left"/>
    </w:pPr>
    <w:rPr>
      <w:sz w:val="18"/>
      <w:szCs w:val="18"/>
    </w:rPr>
  </w:style>
  <w:style w:type="paragraph" w:styleId="6">
    <w:name w:val="header"/>
    <w:basedOn w:val="1"/>
    <w:link w:val="14"/>
    <w:unhideWhenUsed/>
    <w:qFormat/>
    <w:uiPriority w:val="99"/>
    <w:pPr>
      <w:pBdr>
        <w:bottom w:val="single" w:color="auto" w:sz="6" w:space="1"/>
      </w:pBdr>
      <w:tabs>
        <w:tab w:val="center" w:pos="4153"/>
        <w:tab w:val="right" w:pos="8306"/>
      </w:tabs>
      <w:snapToGrid w:val="0"/>
      <w:jc w:val="center"/>
    </w:pPr>
    <w:rPr>
      <w:sz w:val="18"/>
      <w:szCs w:val="18"/>
    </w:rPr>
  </w:style>
  <w:style w:type="paragraph" w:styleId="7">
    <w:name w:val="annotation subject"/>
    <w:basedOn w:val="2"/>
    <w:next w:val="2"/>
    <w:link w:val="19"/>
    <w:semiHidden/>
    <w:unhideWhenUsed/>
    <w:qFormat/>
    <w:uiPriority w:val="99"/>
    <w:rPr>
      <w:rFonts w:asciiTheme="minorHAnsi" w:hAnsiTheme="minorHAnsi" w:eastAsiaTheme="minorEastAsia" w:cstheme="minorBidi"/>
      <w:b/>
      <w:bCs/>
      <w:szCs w:val="22"/>
      <w:lang w:val="en-US" w:eastAsia="zh-CN"/>
    </w:rPr>
  </w:style>
  <w:style w:type="table" w:styleId="9">
    <w:name w:val="Table Grid"/>
    <w:basedOn w:val="8"/>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1">
    <w:name w:val="endnote reference"/>
    <w:basedOn w:val="10"/>
    <w:semiHidden/>
    <w:unhideWhenUsed/>
    <w:qFormat/>
    <w:uiPriority w:val="99"/>
    <w:rPr>
      <w:vertAlign w:val="superscript"/>
    </w:rPr>
  </w:style>
  <w:style w:type="character" w:styleId="12">
    <w:name w:val="annotation reference"/>
    <w:qFormat/>
    <w:uiPriority w:val="99"/>
    <w:rPr>
      <w:sz w:val="21"/>
      <w:szCs w:val="21"/>
    </w:rPr>
  </w:style>
  <w:style w:type="character" w:customStyle="1" w:styleId="13">
    <w:name w:val="尾注文本 字符"/>
    <w:basedOn w:val="10"/>
    <w:link w:val="3"/>
    <w:semiHidden/>
    <w:qFormat/>
    <w:uiPriority w:val="99"/>
  </w:style>
  <w:style w:type="character" w:customStyle="1" w:styleId="14">
    <w:name w:val="页眉 字符"/>
    <w:basedOn w:val="10"/>
    <w:link w:val="6"/>
    <w:qFormat/>
    <w:uiPriority w:val="99"/>
    <w:rPr>
      <w:sz w:val="18"/>
      <w:szCs w:val="18"/>
    </w:rPr>
  </w:style>
  <w:style w:type="character" w:customStyle="1" w:styleId="15">
    <w:name w:val="页脚 字符"/>
    <w:basedOn w:val="10"/>
    <w:link w:val="5"/>
    <w:qFormat/>
    <w:uiPriority w:val="99"/>
    <w:rPr>
      <w:sz w:val="18"/>
      <w:szCs w:val="18"/>
    </w:rPr>
  </w:style>
  <w:style w:type="paragraph" w:styleId="16">
    <w:name w:val="List Paragraph"/>
    <w:basedOn w:val="1"/>
    <w:qFormat/>
    <w:uiPriority w:val="34"/>
    <w:pPr>
      <w:ind w:firstLine="420" w:firstLineChars="200"/>
    </w:pPr>
  </w:style>
  <w:style w:type="character" w:customStyle="1" w:styleId="17">
    <w:name w:val="批注框文本 字符"/>
    <w:basedOn w:val="10"/>
    <w:link w:val="4"/>
    <w:semiHidden/>
    <w:qFormat/>
    <w:uiPriority w:val="99"/>
    <w:rPr>
      <w:sz w:val="18"/>
      <w:szCs w:val="18"/>
    </w:rPr>
  </w:style>
  <w:style w:type="character" w:customStyle="1" w:styleId="18">
    <w:name w:val="批注文字 字符"/>
    <w:basedOn w:val="10"/>
    <w:link w:val="2"/>
    <w:qFormat/>
    <w:uiPriority w:val="99"/>
    <w:rPr>
      <w:rFonts w:ascii="Times New Roman" w:hAnsi="Times New Roman" w:eastAsia="宋体" w:cs="Times New Roman"/>
      <w:szCs w:val="24"/>
      <w:lang w:val="zh-CN" w:eastAsia="zh-CN"/>
    </w:rPr>
  </w:style>
  <w:style w:type="character" w:customStyle="1" w:styleId="19">
    <w:name w:val="批注主题 字符"/>
    <w:basedOn w:val="18"/>
    <w:link w:val="7"/>
    <w:semiHidden/>
    <w:qFormat/>
    <w:uiPriority w:val="99"/>
    <w:rPr>
      <w:rFonts w:ascii="Times New Roman" w:hAnsi="Times New Roman" w:eastAsia="宋体" w:cs="Times New Roman"/>
      <w:b/>
      <w:bCs/>
      <w:szCs w:val="24"/>
      <w:lang w:val="zh-CN" w:eastAsia="zh-CN"/>
    </w:rPr>
  </w:style>
  <w:style w:type="paragraph" w:customStyle="1" w:styleId="20">
    <w:name w:val="Revision"/>
    <w:hidden/>
    <w:semiHidden/>
    <w:qFormat/>
    <w:uiPriority w:val="99"/>
    <w:rPr>
      <w:rFonts w:asciiTheme="minorHAnsi" w:hAnsiTheme="minorHAnsi" w:eastAsiaTheme="minorEastAsia" w:cstheme="minorBidi"/>
      <w:kern w:val="2"/>
      <w:sz w:val="21"/>
      <w:szCs w:val="22"/>
      <w:lang w:val="en-US" w:eastAsia="zh-CN" w:bidi="ar-SA"/>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customXml" Target="../customXml/item1.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true">
          <a:gsLst>
            <a:gs pos="0">
              <a:schemeClr val="phClr">
                <a:tint val="50000"/>
                <a:satMod val="300000"/>
              </a:schemeClr>
            </a:gs>
            <a:gs pos="35000">
              <a:schemeClr val="phClr">
                <a:tint val="37000"/>
                <a:satMod val="300000"/>
              </a:schemeClr>
            </a:gs>
            <a:gs pos="100000">
              <a:schemeClr val="phClr">
                <a:tint val="15000"/>
                <a:satMod val="350000"/>
              </a:schemeClr>
            </a:gs>
          </a:gsLst>
          <a:lin ang="16200000" scaled="true"/>
        </a:gradFill>
        <a:gradFill rotWithShape="true">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false"/>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true">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true">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1</Pages>
  <Words>430</Words>
  <Characters>461</Characters>
  <Lines>41</Lines>
  <Paragraphs>27</Paragraphs>
  <TotalTime>79</TotalTime>
  <ScaleCrop>false</ScaleCrop>
  <LinksUpToDate>false</LinksUpToDate>
  <CharactersWithSpaces>864</CharactersWithSpaces>
  <Application>WPS Office_11.8.2.10552_F1E327BC-269C-435d-A152-05C5408002CA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2022-01-28T13:53:00Z</dcterms:created>
  <dc:creator>dell</dc:creator>
  <cp:lastModifiedBy>oa</cp:lastModifiedBy>
  <cp:lastPrinted>2022-05-27T16:46:00Z</cp:lastPrinted>
  <dcterms:modified xsi:type="dcterms:W3CDTF">2022-06-01T22:45:52Z</dcterms:modified>
  <cp:revision>42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2052-11.8.2.10552</vt:lpwstr>
  </property>
</Properties>
</file>