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00" w:afterAutospacing="1"/>
        <w:jc w:val="center"/>
        <w:rPr>
          <w:rFonts w:ascii="Times New Roman" w:hAnsi="Times New Roman" w:eastAsia="仿宋"/>
          <w:sz w:val="36"/>
          <w:szCs w:val="36"/>
        </w:rPr>
      </w:pPr>
      <w:bookmarkStart w:id="0" w:name="_GoBack"/>
      <w:bookmarkEnd w:id="0"/>
    </w:p>
    <w:p>
      <w:pPr>
        <w:spacing w:after="100" w:afterAutospacing="1"/>
        <w:jc w:val="center"/>
        <w:rPr>
          <w:rFonts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>经营者集中简易案件公示表</w:t>
      </w:r>
    </w:p>
    <w:tbl>
      <w:tblPr>
        <w:tblStyle w:val="5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447"/>
        <w:gridCol w:w="55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adjustRightInd w:val="0"/>
              <w:snapToGrid w:val="0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案件名称</w:t>
            </w:r>
          </w:p>
        </w:tc>
        <w:tc>
          <w:tcPr>
            <w:tcW w:w="6949" w:type="dxa"/>
            <w:gridSpan w:val="2"/>
            <w:shd w:val="clear" w:color="auto" w:fill="auto"/>
            <w:vAlign w:val="center"/>
          </w:tcPr>
          <w:p>
            <w:pPr>
              <w:adjustRightInd w:val="0"/>
              <w:snapToGrid w:val="0"/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沙特阿拉伯工业投资公司收购贝克石油沙特有限公司股权案（“本次交易”）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adjustRightInd w:val="0"/>
              <w:snapToGrid w:val="0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交易概况（限200字内）</w:t>
            </w:r>
          </w:p>
        </w:tc>
        <w:tc>
          <w:tcPr>
            <w:tcW w:w="6949" w:type="dxa"/>
            <w:gridSpan w:val="2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本次交易涉及沙特阿拉伯工业投资公司（“沙特工业投资”）与</w:t>
            </w:r>
            <w:r>
              <w:rPr>
                <w:rFonts w:ascii="宋体" w:hAnsi="宋体" w:eastAsia="宋体"/>
              </w:rPr>
              <w:t>贝克休斯公司</w:t>
            </w:r>
            <w:r>
              <w:rPr>
                <w:rFonts w:hint="eastAsia" w:ascii="宋体" w:hAnsi="宋体" w:eastAsia="宋体"/>
              </w:rPr>
              <w:t>（“贝克休斯”）的子公司签署认购协议，收购</w:t>
            </w:r>
            <w:r>
              <w:rPr>
                <w:rFonts w:ascii="宋体" w:hAnsi="宋体" w:eastAsia="宋体"/>
              </w:rPr>
              <w:t>贝克石油岩</w:t>
            </w:r>
            <w:r>
              <w:rPr>
                <w:rFonts w:hint="eastAsia" w:ascii="宋体" w:hAnsi="宋体" w:eastAsia="宋体"/>
              </w:rPr>
              <w:t>沙特有限公司（“目标公司”）4</w:t>
            </w:r>
            <w:r>
              <w:rPr>
                <w:rFonts w:ascii="宋体" w:hAnsi="宋体" w:eastAsia="宋体"/>
              </w:rPr>
              <w:t>9</w:t>
            </w:r>
            <w:r>
              <w:rPr>
                <w:rFonts w:hint="eastAsia" w:ascii="宋体" w:hAnsi="宋体" w:eastAsia="宋体"/>
              </w:rPr>
              <w:t>%的股权。目标公司将主要在沙特阿拉伯王国从事特种化学品业务。本次交易前，目标公司由贝克休斯间接单独控制。</w:t>
            </w:r>
            <w:r>
              <w:rPr>
                <w:rFonts w:ascii="宋体" w:hAnsi="宋体" w:eastAsia="宋体"/>
              </w:rPr>
              <w:t>本次</w:t>
            </w:r>
            <w:r>
              <w:rPr>
                <w:rFonts w:hint="eastAsia" w:ascii="宋体" w:hAnsi="宋体" w:eastAsia="宋体"/>
              </w:rPr>
              <w:t>交易后，沙特工业投资将获得目标公司49%的股权，贝克休斯将保留目标公司51%的股权。贝克休斯和沙特工业投资将共同控制目标公司。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adjustRightInd w:val="0"/>
              <w:snapToGrid w:val="0"/>
              <w:jc w:val="left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参与集中的经营者简介</w:t>
            </w:r>
            <w:r>
              <w:rPr>
                <w:rStyle w:val="8"/>
                <w:rFonts w:ascii="宋体" w:hAnsi="宋体" w:eastAsia="宋体"/>
                <w:b/>
              </w:rPr>
              <w:t xml:space="preserve"> </w:t>
            </w:r>
          </w:p>
        </w:tc>
        <w:tc>
          <w:tcPr>
            <w:tcW w:w="1447" w:type="dxa"/>
            <w:shd w:val="clear" w:color="auto" w:fill="auto"/>
          </w:tcPr>
          <w:p>
            <w:pPr>
              <w:adjustRightInd w:val="0"/>
              <w:snapToGrid w:val="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lang w:val="en-GB"/>
              </w:rPr>
              <w:t>贝克休斯</w:t>
            </w:r>
          </w:p>
        </w:tc>
        <w:tc>
          <w:tcPr>
            <w:tcW w:w="5502" w:type="dxa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贝克休斯于2016年10月28日</w:t>
            </w:r>
            <w:r>
              <w:rPr>
                <w:rFonts w:ascii="宋体" w:hAnsi="宋体" w:eastAsia="宋体"/>
              </w:rPr>
              <w:t>在</w:t>
            </w:r>
            <w:r>
              <w:rPr>
                <w:rFonts w:hint="eastAsia" w:ascii="宋体" w:hAnsi="宋体" w:eastAsia="宋体"/>
              </w:rPr>
              <w:t>美国特拉华州成立。是一家在纽约证券交易所上市的公司。贝克休斯是一家全球性综合油田产品、服务和数字解决方案供应商，贝克休斯所提供的产品、服务和数字解决方案可提高整个石油和天然气开发领域上游（评估、钻井、完井和生产）、中游（液化天然气、管道和储存）和下游（炼油及石化解决方案）的生产力。</w:t>
            </w:r>
          </w:p>
          <w:p>
            <w:pPr>
              <w:adjustRightInd w:val="0"/>
              <w:snapToGrid w:val="0"/>
              <w:jc w:val="left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贝克休斯</w:t>
            </w:r>
            <w:r>
              <w:rPr>
                <w:rFonts w:hint="eastAsia" w:ascii="宋体" w:hAnsi="宋体" w:eastAsia="宋体"/>
              </w:rPr>
              <w:t>无</w:t>
            </w:r>
            <w:r>
              <w:rPr>
                <w:rFonts w:ascii="宋体" w:hAnsi="宋体" w:eastAsia="宋体"/>
              </w:rPr>
              <w:t>最终控制人</w:t>
            </w:r>
            <w:r>
              <w:rPr>
                <w:rFonts w:hint="eastAsia" w:ascii="宋体" w:hAnsi="宋体" w:eastAsia="宋体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adjustRightInd w:val="0"/>
              <w:snapToGrid w:val="0"/>
              <w:jc w:val="left"/>
              <w:rPr>
                <w:rFonts w:ascii="宋体" w:hAnsi="宋体" w:eastAsia="宋体"/>
                <w:b/>
              </w:rPr>
            </w:pPr>
          </w:p>
        </w:tc>
        <w:tc>
          <w:tcPr>
            <w:tcW w:w="1447" w:type="dxa"/>
            <w:shd w:val="clear" w:color="auto" w:fill="auto"/>
          </w:tcPr>
          <w:p>
            <w:pPr>
              <w:adjustRightInd w:val="0"/>
              <w:snapToGrid w:val="0"/>
              <w:rPr>
                <w:rFonts w:ascii="宋体" w:hAnsi="宋体" w:eastAsia="宋体"/>
                <w:lang w:val="en-GB"/>
              </w:rPr>
            </w:pPr>
            <w:r>
              <w:rPr>
                <w:rFonts w:hint="eastAsia" w:ascii="宋体" w:hAnsi="宋体" w:eastAsia="宋体"/>
              </w:rPr>
              <w:t>沙特工业投资</w:t>
            </w:r>
          </w:p>
        </w:tc>
        <w:tc>
          <w:tcPr>
            <w:tcW w:w="5502" w:type="dxa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沙特工业投资于2014年3月29日</w:t>
            </w:r>
            <w:r>
              <w:rPr>
                <w:rFonts w:ascii="宋体" w:hAnsi="宋体" w:eastAsia="宋体"/>
              </w:rPr>
              <w:t>在</w:t>
            </w:r>
            <w:r>
              <w:rPr>
                <w:rFonts w:hint="eastAsia" w:ascii="宋体" w:hAnsi="宋体" w:eastAsia="宋体"/>
              </w:rPr>
              <w:t>沙特阿拉伯王国成立。沙特工业投资是一家战略投资公司，</w:t>
            </w:r>
            <w:r>
              <w:rPr>
                <w:rFonts w:ascii="宋体" w:hAnsi="宋体" w:eastAsia="宋体" w:cs="Times New Roman"/>
                <w:kern w:val="0"/>
                <w:szCs w:val="21"/>
              </w:rPr>
              <w:t>沙特工业投资目前同时在四个关键性行业有所布局：工业金属、下游化学品、汽车制造和电力</w:t>
            </w:r>
            <w:r>
              <w:rPr>
                <w:rFonts w:hint="eastAsia" w:ascii="宋体" w:hAnsi="宋体" w:eastAsia="宋体"/>
              </w:rPr>
              <w:t>。</w:t>
            </w:r>
          </w:p>
          <w:p>
            <w:pPr>
              <w:adjustRightInd w:val="0"/>
              <w:snapToGrid w:val="0"/>
              <w:jc w:val="left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沙特工业投资的最终控制人是</w:t>
            </w:r>
            <w:r>
              <w:rPr>
                <w:rFonts w:hint="eastAsia" w:ascii="宋体" w:hAnsi="宋体" w:eastAsia="宋体"/>
              </w:rPr>
              <w:t>沙特阿拉伯公共投资基金（“PIF”）和沙特阿拉伯石油公司（“沙特阿美”）</w:t>
            </w:r>
            <w:r>
              <w:rPr>
                <w:rFonts w:ascii="宋体" w:hAnsi="宋体" w:eastAsia="宋体"/>
              </w:rPr>
              <w:t>。其中，</w:t>
            </w:r>
            <w:r>
              <w:rPr>
                <w:rFonts w:hint="eastAsia" w:ascii="宋体" w:hAnsi="宋体" w:eastAsia="宋体"/>
              </w:rPr>
              <w:t>PIF是沙特阿拉伯王国的主权财富基金</w:t>
            </w:r>
            <w:r>
              <w:rPr>
                <w:rFonts w:ascii="宋体" w:hAnsi="宋体" w:eastAsia="宋体"/>
              </w:rPr>
              <w:t>；</w:t>
            </w:r>
            <w:r>
              <w:rPr>
                <w:rFonts w:hint="eastAsia" w:ascii="宋体" w:hAnsi="宋体" w:eastAsia="宋体"/>
              </w:rPr>
              <w:t>沙特阿美是沙特阿拉伯王国的一家公共石油和天然气公司。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adjustRightInd w:val="0"/>
              <w:snapToGrid w:val="0"/>
              <w:jc w:val="left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lang w:val="en-GB"/>
              </w:rPr>
              <w:sym w:font="Wingdings" w:char="00A8"/>
            </w:r>
            <w:r>
              <w:rPr>
                <w:rFonts w:ascii="宋体" w:hAnsi="宋体" w:eastAsia="宋体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adjustRightInd w:val="0"/>
              <w:snapToGrid w:val="0"/>
              <w:jc w:val="left"/>
              <w:rPr>
                <w:rFonts w:ascii="宋体" w:hAnsi="宋体" w:eastAsia="宋体"/>
                <w:b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lang w:val="en-GB"/>
              </w:rPr>
              <w:sym w:font="Wingdings" w:char="00A8"/>
            </w:r>
            <w:r>
              <w:rPr>
                <w:rFonts w:ascii="宋体" w:hAnsi="宋体" w:eastAsia="宋体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adjustRightInd w:val="0"/>
              <w:snapToGrid w:val="0"/>
              <w:jc w:val="left"/>
              <w:rPr>
                <w:rFonts w:ascii="宋体" w:hAnsi="宋体" w:eastAsia="宋体"/>
                <w:b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lang w:val="en-GB"/>
              </w:rPr>
              <w:sym w:font="Wingdings" w:char="00A8"/>
            </w:r>
            <w:r>
              <w:rPr>
                <w:rFonts w:ascii="宋体" w:hAnsi="宋体" w:eastAsia="宋体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adjustRightInd w:val="0"/>
              <w:snapToGrid w:val="0"/>
              <w:jc w:val="left"/>
              <w:rPr>
                <w:rFonts w:ascii="宋体" w:hAnsi="宋体" w:eastAsia="宋体"/>
                <w:b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lang w:val="en-GB"/>
              </w:rPr>
              <w:sym w:font="Wingdings" w:char="00A8"/>
            </w:r>
            <w:r>
              <w:rPr>
                <w:rFonts w:ascii="宋体" w:hAnsi="宋体" w:eastAsia="宋体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adjustRightInd w:val="0"/>
              <w:snapToGrid w:val="0"/>
              <w:jc w:val="left"/>
              <w:rPr>
                <w:rFonts w:ascii="宋体" w:hAnsi="宋体" w:eastAsia="宋体"/>
                <w:b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lang w:val="en-GB"/>
              </w:rPr>
              <w:sym w:font="Wingdings" w:char="00FE"/>
            </w:r>
            <w:r>
              <w:rPr>
                <w:rFonts w:ascii="宋体" w:hAnsi="宋体" w:eastAsia="宋体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adjustRightInd w:val="0"/>
              <w:snapToGrid w:val="0"/>
              <w:jc w:val="left"/>
              <w:rPr>
                <w:rFonts w:ascii="宋体" w:hAnsi="宋体" w:eastAsia="宋体"/>
                <w:b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lang w:val="en-GB"/>
              </w:rPr>
              <w:sym w:font="Wingdings" w:char="00A8"/>
            </w:r>
            <w:r>
              <w:rPr>
                <w:rFonts w:ascii="宋体" w:hAnsi="宋体" w:eastAsia="宋体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adjustRightInd w:val="0"/>
              <w:snapToGrid w:val="0"/>
              <w:jc w:val="left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备注</w:t>
            </w:r>
          </w:p>
        </w:tc>
        <w:tc>
          <w:tcPr>
            <w:tcW w:w="6949" w:type="dxa"/>
            <w:gridSpan w:val="2"/>
            <w:shd w:val="clear" w:color="auto" w:fill="auto"/>
          </w:tcPr>
          <w:p>
            <w:pPr>
              <w:pStyle w:val="17"/>
              <w:widowControl/>
              <w:snapToGrid w:val="0"/>
              <w:ind w:firstLine="0" w:firstLineChars="0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不适用。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B94DAF"/>
    <w:multiLevelType w:val="multilevel"/>
    <w:tmpl w:val="52B94DAF"/>
    <w:lvl w:ilvl="0" w:tentative="0">
      <w:start w:val="1"/>
      <w:numFmt w:val="decimal"/>
      <w:pStyle w:val="12"/>
      <w:lvlText w:val="(%1)"/>
      <w:lvlJc w:val="right"/>
      <w:pPr>
        <w:ind w:left="420" w:hanging="420"/>
      </w:pPr>
      <w:rPr>
        <w:rFonts w:hint="eastAsia"/>
        <w:b w:val="0"/>
        <w:i w:val="0"/>
        <w:iCs w:val="0"/>
        <w:color w:val="BFBFBF" w:themeColor="background1" w:themeShade="BF"/>
      </w:rPr>
    </w:lvl>
    <w:lvl w:ilvl="1" w:tentative="0">
      <w:start w:val="1"/>
      <w:numFmt w:val="lowerRoman"/>
      <w:lvlText w:val="(%2)"/>
      <w:lvlJc w:val="left"/>
      <w:pPr>
        <w:ind w:left="840" w:hanging="420"/>
      </w:pPr>
      <w:rPr>
        <w:rFonts w:hint="eastAsia"/>
        <w:b w:val="0"/>
        <w:i w:val="0"/>
      </w:rPr>
    </w:lvl>
    <w:lvl w:ilvl="2" w:tentative="0">
      <w:start w:val="1"/>
      <w:numFmt w:val="bullet"/>
      <w:lvlText w:val=""/>
      <w:lvlJc w:val="left"/>
      <w:pPr>
        <w:ind w:left="1260" w:hanging="420"/>
      </w:pPr>
      <w:rPr>
        <w:rFonts w:hint="default" w:ascii="Symbol" w:hAnsi="Symbol"/>
      </w:r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73B"/>
    <w:rsid w:val="00035D96"/>
    <w:rsid w:val="00081830"/>
    <w:rsid w:val="001514B2"/>
    <w:rsid w:val="005A073B"/>
    <w:rsid w:val="009457A4"/>
    <w:rsid w:val="00A40406"/>
    <w:rsid w:val="00CB05AB"/>
    <w:rsid w:val="00CD5743"/>
    <w:rsid w:val="00D11C71"/>
    <w:rsid w:val="00E86133"/>
    <w:rsid w:val="00EF259E"/>
    <w:rsid w:val="00FC3AA7"/>
    <w:rsid w:val="068F4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0" w:semiHidden="0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footnote text"/>
    <w:basedOn w:val="1"/>
    <w:link w:val="14"/>
    <w:unhideWhenUsed/>
    <w:qFormat/>
    <w:uiPriority w:val="0"/>
    <w:pPr>
      <w:snapToGrid w:val="0"/>
      <w:jc w:val="left"/>
    </w:pPr>
    <w:rPr>
      <w:sz w:val="18"/>
      <w:szCs w:val="18"/>
    </w:rPr>
  </w:style>
  <w:style w:type="table" w:styleId="6">
    <w:name w:val="Table Grid"/>
    <w:basedOn w:val="5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otnote reference"/>
    <w:basedOn w:val="7"/>
    <w:link w:val="9"/>
    <w:unhideWhenUsed/>
    <w:qFormat/>
    <w:uiPriority w:val="0"/>
    <w:rPr>
      <w:vertAlign w:val="superscript"/>
    </w:rPr>
  </w:style>
  <w:style w:type="paragraph" w:customStyle="1" w:styleId="9">
    <w:name w:val="Z_Footnote Text"/>
    <w:basedOn w:val="1"/>
    <w:link w:val="8"/>
    <w:uiPriority w:val="0"/>
    <w:pPr>
      <w:widowControl/>
      <w:spacing w:after="160" w:line="240" w:lineRule="exact"/>
      <w:jc w:val="left"/>
    </w:pPr>
    <w:rPr>
      <w:sz w:val="21"/>
      <w:szCs w:val="22"/>
      <w:vertAlign w:val="superscript"/>
    </w:rPr>
  </w:style>
  <w:style w:type="character" w:customStyle="1" w:styleId="10">
    <w:name w:val="页眉 Char"/>
    <w:basedOn w:val="7"/>
    <w:link w:val="3"/>
    <w:uiPriority w:val="99"/>
    <w:rPr>
      <w:sz w:val="18"/>
      <w:szCs w:val="18"/>
    </w:rPr>
  </w:style>
  <w:style w:type="character" w:customStyle="1" w:styleId="11">
    <w:name w:val="页脚 Char"/>
    <w:basedOn w:val="7"/>
    <w:link w:val="2"/>
    <w:uiPriority w:val="99"/>
    <w:rPr>
      <w:sz w:val="18"/>
      <w:szCs w:val="18"/>
    </w:rPr>
  </w:style>
  <w:style w:type="paragraph" w:customStyle="1" w:styleId="12">
    <w:name w:val="Para (1) (2) (3)"/>
    <w:basedOn w:val="13"/>
    <w:link w:val="15"/>
    <w:qFormat/>
    <w:uiPriority w:val="0"/>
    <w:pPr>
      <w:numPr>
        <w:ilvl w:val="0"/>
        <w:numId w:val="1"/>
      </w:numPr>
      <w:snapToGrid w:val="0"/>
      <w:spacing w:after="200" w:line="280" w:lineRule="exact"/>
      <w:ind w:firstLine="0" w:firstLineChars="0"/>
    </w:pPr>
    <w:rPr>
      <w:rFonts w:ascii="Times New Roman" w:hAnsi="Times New Roman" w:cs="Times New Roman"/>
      <w:kern w:val="0"/>
      <w:sz w:val="22"/>
      <w:szCs w:val="22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脚注文本 Char"/>
    <w:basedOn w:val="7"/>
    <w:link w:val="4"/>
    <w:uiPriority w:val="0"/>
    <w:rPr>
      <w:sz w:val="18"/>
      <w:szCs w:val="18"/>
    </w:rPr>
  </w:style>
  <w:style w:type="character" w:customStyle="1" w:styleId="15">
    <w:name w:val="Para (1) (2) (3) Char"/>
    <w:basedOn w:val="7"/>
    <w:link w:val="12"/>
    <w:uiPriority w:val="0"/>
    <w:rPr>
      <w:rFonts w:ascii="Times New Roman" w:hAnsi="Times New Roman" w:cs="Times New Roman"/>
      <w:kern w:val="0"/>
      <w:sz w:val="22"/>
    </w:rPr>
  </w:style>
  <w:style w:type="table" w:customStyle="1" w:styleId="16">
    <w:name w:val="网格型1"/>
    <w:basedOn w:val="5"/>
    <w:uiPriority w:val="59"/>
    <w:rPr>
      <w:kern w:val="0"/>
      <w:sz w:val="22"/>
      <w:lang w:eastAsia="zh-TW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7">
    <w:name w:val="彩色列表 - 强调文字颜色 11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  <w:sz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152</Words>
  <Characters>873</Characters>
  <Lines>7</Lines>
  <Paragraphs>2</Paragraphs>
  <TotalTime>0</TotalTime>
  <ScaleCrop>false</ScaleCrop>
  <LinksUpToDate>false</LinksUpToDate>
  <CharactersWithSpaces>1023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2022-06-02T06:34:00Z</dcterms:created>
  <dc:creator>Fangda</dc:creator>
  <cp:lastModifiedBy>杨钧翰</cp:lastModifiedBy>
  <dcterms:modified xsi:type="dcterms:W3CDTF">2022-06-02T06:38:48Z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