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napToGrid w:val="0"/>
        <w:spacing w:before="100" w:beforeAutospacing="1" w:after="100" w:afterAutospacing="1"/>
        <w:jc w:val="center"/>
        <w:rPr>
          <w:rFonts w:ascii="黑体" w:hAnsi="黑体" w:eastAsia="黑体"/>
          <w:sz w:val="36"/>
          <w:szCs w:val="36"/>
        </w:rPr>
      </w:pPr>
      <w:bookmarkStart w:id="0" w:name="_GoBack"/>
      <w:bookmarkEnd w:id="0"/>
      <w:r>
        <w:rPr>
          <w:rFonts w:hint="eastAsia" w:ascii="黑体" w:hAnsi="黑体" w:eastAsia="黑体" w:cs="宋体"/>
          <w:b/>
          <w:sz w:val="36"/>
          <w:szCs w:val="36"/>
        </w:rPr>
        <w:t>经营者集中简易案件公示表</w:t>
      </w:r>
    </w:p>
    <w:tbl>
      <w:tblPr>
        <w:tblStyle w:val="7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60"/>
        <w:gridCol w:w="2030"/>
        <w:gridCol w:w="463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9" w:hRule="atLeast"/>
        </w:trPr>
        <w:tc>
          <w:tcPr>
            <w:tcW w:w="1560" w:type="dxa"/>
            <w:shd w:val="clear" w:color="auto" w:fill="D9D9D9"/>
            <w:vAlign w:val="center"/>
          </w:tcPr>
          <w:p>
            <w:pPr>
              <w:snapToGrid w:val="0"/>
              <w:jc w:val="center"/>
              <w:rPr>
                <w:rFonts w:hint="default" w:ascii="Times New Roman" w:hAnsi="Times New Roman"/>
                <w:b/>
                <w:color w:val="333333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color w:val="333333"/>
                <w:kern w:val="0"/>
                <w:sz w:val="24"/>
                <w:szCs w:val="24"/>
              </w:rPr>
              <w:t>案件名称</w:t>
            </w:r>
          </w:p>
        </w:tc>
        <w:tc>
          <w:tcPr>
            <w:tcW w:w="6662" w:type="dxa"/>
            <w:gridSpan w:val="2"/>
            <w:vAlign w:val="center"/>
          </w:tcPr>
          <w:p>
            <w:pPr>
              <w:snapToGrid w:val="0"/>
              <w:rPr>
                <w:rFonts w:hint="default" w:ascii="Times New Roman" w:hAnsi="Times New Roman"/>
                <w:color w:val="333333"/>
                <w:kern w:val="0"/>
                <w:sz w:val="24"/>
                <w:szCs w:val="24"/>
              </w:rPr>
            </w:pPr>
            <w:r>
              <w:rPr>
                <w:rFonts w:hint="default" w:ascii="Times New Roman" w:hAnsi="Times New Roman"/>
                <w:color w:val="333333"/>
                <w:kern w:val="0"/>
                <w:sz w:val="24"/>
                <w:szCs w:val="24"/>
              </w:rPr>
              <w:t>安大略省教师退休基金会委员会收购公路基础设施信托基金股权案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14" w:hRule="atLeast"/>
        </w:trPr>
        <w:tc>
          <w:tcPr>
            <w:tcW w:w="1560" w:type="dxa"/>
            <w:shd w:val="clear" w:color="auto" w:fill="D9D9D9"/>
            <w:vAlign w:val="center"/>
          </w:tcPr>
          <w:p>
            <w:pPr>
              <w:snapToGrid w:val="0"/>
              <w:jc w:val="center"/>
              <w:rPr>
                <w:rFonts w:hint="default" w:ascii="Times New Roman" w:hAnsi="Times New Roman"/>
                <w:b/>
                <w:color w:val="333333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color w:val="333333"/>
                <w:kern w:val="0"/>
                <w:sz w:val="24"/>
                <w:szCs w:val="24"/>
              </w:rPr>
              <w:t>交易概况</w:t>
            </w:r>
          </w:p>
          <w:p>
            <w:pPr>
              <w:snapToGrid w:val="0"/>
              <w:jc w:val="center"/>
              <w:rPr>
                <w:rFonts w:hint="default" w:ascii="Times New Roman" w:hAnsi="Times New Roman"/>
                <w:b/>
                <w:color w:val="333333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color w:val="333333"/>
                <w:kern w:val="0"/>
                <w:sz w:val="24"/>
                <w:szCs w:val="24"/>
              </w:rPr>
              <w:t>（限200字内）</w:t>
            </w:r>
          </w:p>
        </w:tc>
        <w:tc>
          <w:tcPr>
            <w:tcW w:w="6662" w:type="dxa"/>
            <w:gridSpan w:val="2"/>
            <w:vAlign w:val="center"/>
          </w:tcPr>
          <w:p>
            <w:pPr>
              <w:snapToGrid w:val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/>
                <w:color w:val="333333"/>
                <w:kern w:val="0"/>
                <w:sz w:val="24"/>
                <w:szCs w:val="24"/>
              </w:rPr>
              <w:t>KKR公司（KKR公司</w:t>
            </w:r>
            <w:r>
              <w:rPr>
                <w:rFonts w:hint="default" w:ascii="Times New Roman" w:hAnsi="Times New Roman"/>
                <w:sz w:val="24"/>
                <w:szCs w:val="24"/>
                <w:lang w:eastAsia="zh-Hans"/>
              </w:rPr>
              <w:t>与其子公司合称为K</w:t>
            </w:r>
            <w:r>
              <w:rPr>
                <w:rFonts w:ascii="Times New Roman" w:hAnsi="Times New Roman"/>
                <w:sz w:val="24"/>
                <w:szCs w:val="24"/>
                <w:lang w:eastAsia="zh-Hans"/>
              </w:rPr>
              <w:t>KR</w:t>
            </w:r>
            <w:r>
              <w:rPr>
                <w:rFonts w:hint="default" w:ascii="Times New Roman" w:hAnsi="Times New Roman"/>
                <w:sz w:val="24"/>
                <w:szCs w:val="24"/>
                <w:lang w:eastAsia="zh-Hans"/>
              </w:rPr>
              <w:t>；通过特殊目的公司</w:t>
            </w:r>
            <w:r>
              <w:rPr>
                <w:rFonts w:hint="default" w:ascii="Times New Roman" w:hAnsi="Times New Roman"/>
                <w:color w:val="333333"/>
                <w:kern w:val="0"/>
                <w:sz w:val="24"/>
                <w:szCs w:val="24"/>
              </w:rPr>
              <w:t>）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eastAsia="zh-Hans"/>
              </w:rPr>
              <w:t>与</w:t>
            </w:r>
            <w:r>
              <w:rPr>
                <w:rFonts w:hint="default" w:ascii="Times New Roman" w:hAnsi="Times New Roman"/>
                <w:color w:val="333333"/>
                <w:kern w:val="0"/>
                <w:sz w:val="24"/>
                <w:szCs w:val="24"/>
              </w:rPr>
              <w:t>安大略省教师退休基金会委员会</w:t>
            </w:r>
            <w:r>
              <w:rPr>
                <w:rFonts w:hint="default" w:ascii="Times New Roman" w:hAnsi="Times New Roman"/>
                <w:sz w:val="24"/>
                <w:szCs w:val="24"/>
                <w:lang w:eastAsia="zh-Hans"/>
              </w:rPr>
              <w:t>（与其关联实体合称为</w:t>
            </w:r>
            <w:r>
              <w:rPr>
                <w:rFonts w:ascii="Times New Roman" w:hAnsi="Times New Roman"/>
                <w:sz w:val="24"/>
                <w:szCs w:val="24"/>
                <w:lang w:eastAsia="zh-Hans"/>
              </w:rPr>
              <w:t>OTPP</w:t>
            </w:r>
            <w:r>
              <w:rPr>
                <w:rFonts w:hint="default" w:ascii="Times New Roman" w:hAnsi="Times New Roman"/>
                <w:sz w:val="24"/>
                <w:szCs w:val="24"/>
                <w:lang w:eastAsia="zh-Hans"/>
              </w:rPr>
              <w:t>）</w:t>
            </w:r>
            <w:r>
              <w:rPr>
                <w:rFonts w:hint="default" w:ascii="Times New Roman" w:hAnsi="Times New Roman"/>
                <w:sz w:val="24"/>
                <w:szCs w:val="24"/>
              </w:rPr>
              <w:t>等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eastAsia="zh-Hans"/>
              </w:rPr>
              <w:t>签署《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框架协议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eastAsia="zh-Hans"/>
              </w:rPr>
              <w:t>》，</w:t>
            </w:r>
            <w:r>
              <w:rPr>
                <w:rFonts w:ascii="Times New Roman" w:hAnsi="Times New Roman" w:cs="Times New Roman"/>
                <w:sz w:val="24"/>
                <w:szCs w:val="24"/>
                <w:lang w:eastAsia="zh-Hans"/>
              </w:rPr>
              <w:t>OTPP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eastAsia="zh-Hans"/>
              </w:rPr>
              <w:t>在满足相关条件后预计收购公路基础设施信托基金（即目标公司）最多2</w:t>
            </w:r>
            <w:r>
              <w:rPr>
                <w:rFonts w:ascii="Times New Roman" w:hAnsi="Times New Roman" w:cs="Times New Roman"/>
                <w:sz w:val="24"/>
                <w:szCs w:val="24"/>
                <w:lang w:eastAsia="zh-Hans"/>
              </w:rPr>
              <w:t>8%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eastAsia="zh-Hans"/>
              </w:rPr>
              <w:t>的股权（即本次交易）。公路基础设施信托基金预计在满足相关条件后最终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持有在印度从事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eastAsia="zh-Hans"/>
              </w:rPr>
              <w:t>道路设计、融资、建设、运营和维护业务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的相关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eastAsia="zh-Hans"/>
              </w:rPr>
              <w:t>公司。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本次交易后，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eastAsia="zh-Hans"/>
              </w:rPr>
              <w:t>公路基础设施信托基金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预计在满足相关条件后由KKR和OTPP共同控制。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75" w:hRule="atLeast"/>
        </w:trPr>
        <w:tc>
          <w:tcPr>
            <w:tcW w:w="1560" w:type="dxa"/>
            <w:vMerge w:val="restart"/>
            <w:shd w:val="clear" w:color="auto" w:fill="D9D9D9"/>
            <w:vAlign w:val="center"/>
          </w:tcPr>
          <w:p>
            <w:pPr>
              <w:snapToGrid w:val="0"/>
              <w:jc w:val="center"/>
              <w:rPr>
                <w:rFonts w:hint="default" w:ascii="Times New Roman" w:hAnsi="Times New Roman"/>
                <w:b/>
                <w:color w:val="333333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color w:val="333333"/>
                <w:kern w:val="0"/>
                <w:sz w:val="24"/>
                <w:szCs w:val="24"/>
              </w:rPr>
              <w:t>参与集中的</w:t>
            </w:r>
          </w:p>
          <w:p>
            <w:pPr>
              <w:snapToGrid w:val="0"/>
              <w:jc w:val="center"/>
              <w:rPr>
                <w:rFonts w:hint="default" w:ascii="Times New Roman" w:hAnsi="Times New Roman"/>
                <w:b/>
                <w:color w:val="333333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color w:val="333333"/>
                <w:kern w:val="0"/>
                <w:sz w:val="24"/>
                <w:szCs w:val="24"/>
              </w:rPr>
              <w:t>经营者简介</w:t>
            </w:r>
          </w:p>
        </w:tc>
        <w:tc>
          <w:tcPr>
            <w:tcW w:w="2030" w:type="dxa"/>
            <w:vAlign w:val="center"/>
          </w:tcPr>
          <w:p>
            <w:pPr>
              <w:snapToGrid w:val="0"/>
              <w:rPr>
                <w:rFonts w:hint="default" w:ascii="Times New Roman" w:hAnsi="Times New Roman"/>
                <w:color w:val="000000" w:themeColor="text1"/>
                <w:kern w:val="0"/>
                <w:sz w:val="24"/>
                <w:szCs w:val="24"/>
                <w:lang w:eastAsia="zh-Han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OTPP</w:t>
            </w:r>
          </w:p>
        </w:tc>
        <w:tc>
          <w:tcPr>
            <w:tcW w:w="4632" w:type="dxa"/>
            <w:vAlign w:val="center"/>
          </w:tcPr>
          <w:p>
            <w:pPr>
              <w:snapToGrid w:val="0"/>
              <w:rPr>
                <w:rFonts w:hint="default" w:ascii="Times New Roman" w:hAnsi="Times New Roman"/>
                <w:color w:val="000000" w:themeColor="text1"/>
                <w:kern w:val="0"/>
                <w:sz w:val="24"/>
                <w:szCs w:val="24"/>
                <w:lang w:eastAsia="zh-TW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OTPP于1990年1月1日在加拿大注册成立。OTPP是一家根据《安大略省教师退休基金会法案》设立的无股本公司，其主营办公地点位于加拿大安大略省多伦多市。OTPP负责代表加拿大安大略省约33.3万名在职及退休教师管理退休金收益并对退休金计划资产进行投资。</w:t>
            </w:r>
          </w:p>
          <w:p>
            <w:pPr>
              <w:snapToGrid w:val="0"/>
              <w:rPr>
                <w:rFonts w:hint="default" w:ascii="Times New Roman" w:hAnsi="Times New Roman"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  <w:p>
            <w:pPr>
              <w:snapToGrid w:val="0"/>
              <w:rPr>
                <w:rFonts w:hint="default" w:ascii="Times New Roman" w:hAnsi="Times New Roman"/>
              </w:rPr>
            </w:pPr>
            <w:r>
              <w:rPr>
                <w:rFonts w:hint="default" w:ascii="Times New Roman" w:hAnsi="Times New Roman"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OTPP无最终控制人。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03" w:hRule="exact"/>
        </w:trPr>
        <w:tc>
          <w:tcPr>
            <w:tcW w:w="1560" w:type="dxa"/>
            <w:vMerge w:val="continue"/>
            <w:shd w:val="clear" w:color="auto" w:fill="D9D9D9"/>
            <w:vAlign w:val="center"/>
          </w:tcPr>
          <w:p>
            <w:pPr>
              <w:snapToGrid w:val="0"/>
              <w:jc w:val="center"/>
              <w:rPr>
                <w:rFonts w:hint="default" w:ascii="Times New Roman" w:hAnsi="Times New Roman"/>
                <w:b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2030" w:type="dxa"/>
            <w:vAlign w:val="center"/>
          </w:tcPr>
          <w:p>
            <w:pPr>
              <w:snapToGrid w:val="0"/>
              <w:rPr>
                <w:rFonts w:hint="default" w:ascii="Times New Roman" w:hAnsi="Times New Roman"/>
                <w:color w:val="000000" w:themeColor="text1"/>
                <w:kern w:val="0"/>
                <w:sz w:val="24"/>
                <w:szCs w:val="24"/>
                <w:lang w:eastAsia="zh-Han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KKR</w:t>
            </w:r>
          </w:p>
        </w:tc>
        <w:tc>
          <w:tcPr>
            <w:tcW w:w="4632" w:type="dxa"/>
            <w:vAlign w:val="center"/>
          </w:tcPr>
          <w:p>
            <w:pPr>
              <w:snapToGrid w:val="0"/>
              <w:rPr>
                <w:rFonts w:hint="default" w:ascii="Times New Roman" w:hAnsi="Times New Roman"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KKR是一家全球投资公司，提供另类资产管理、资本市场和保险解决方案。KKR发起投资私募股权、信贷和房地产的投资基金，并拥有管理对冲基金的战略合作伙伴。KKR旗下的保险子公司提供由环球大西洋（Global Atlantic）管理的退休、人寿和再保险产品。KKR在纽约证券交易所上市。</w:t>
            </w:r>
          </w:p>
          <w:p>
            <w:pPr>
              <w:snapToGrid w:val="0"/>
              <w:rPr>
                <w:rFonts w:hint="default" w:ascii="Times New Roman" w:hAnsi="Times New Roman"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eastAsia="zh-Hans"/>
              </w:rPr>
              <w:t>公路基础设施信托基金</w:t>
            </w:r>
            <w:r>
              <w:rPr>
                <w:rFonts w:hint="default" w:ascii="Times New Roman" w:hAnsi="Times New Roman"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于2021年12月23日在印度注册成立并由KKR单独控制。</w:t>
            </w:r>
          </w:p>
          <w:p>
            <w:pPr>
              <w:snapToGrid w:val="0"/>
              <w:rPr>
                <w:rFonts w:hint="default" w:ascii="Times New Roman" w:hAnsi="Times New Roman"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KKR管理有限合伙最终控制KKR。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7" w:hRule="atLeast"/>
        </w:trPr>
        <w:tc>
          <w:tcPr>
            <w:tcW w:w="1560" w:type="dxa"/>
            <w:vMerge w:val="restart"/>
            <w:shd w:val="clear" w:color="auto" w:fill="D9D9D9"/>
            <w:vAlign w:val="center"/>
          </w:tcPr>
          <w:p>
            <w:pPr>
              <w:snapToGrid w:val="0"/>
              <w:jc w:val="center"/>
              <w:rPr>
                <w:rFonts w:hint="default" w:ascii="Times New Roman" w:hAnsi="Times New Roman"/>
                <w:b/>
                <w:color w:val="333333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color w:val="333333"/>
                <w:kern w:val="0"/>
                <w:sz w:val="24"/>
                <w:szCs w:val="24"/>
              </w:rPr>
              <w:t>简易案件理由（可以单选，也可以多选）</w:t>
            </w:r>
          </w:p>
        </w:tc>
        <w:tc>
          <w:tcPr>
            <w:tcW w:w="6662" w:type="dxa"/>
            <w:gridSpan w:val="2"/>
            <w:vAlign w:val="center"/>
          </w:tcPr>
          <w:p>
            <w:pPr>
              <w:snapToGrid w:val="0"/>
              <w:rPr>
                <w:rFonts w:hint="default" w:ascii="Times New Roman" w:hAnsi="Times New Roman"/>
                <w:color w:val="333333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GB"/>
              </w:rPr>
              <w:sym w:font="Wingdings" w:char="F0A8"/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1.在同一相关市场，所有参与集中的经营者所占市场份额之和小于15%。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6" w:hRule="atLeast"/>
        </w:trPr>
        <w:tc>
          <w:tcPr>
            <w:tcW w:w="1560" w:type="dxa"/>
            <w:vMerge w:val="continue"/>
            <w:shd w:val="clear" w:color="auto" w:fill="D9D9D9"/>
            <w:vAlign w:val="center"/>
          </w:tcPr>
          <w:p>
            <w:pPr>
              <w:snapToGrid w:val="0"/>
              <w:jc w:val="center"/>
              <w:rPr>
                <w:rFonts w:hint="default" w:ascii="Times New Roman" w:hAnsi="Times New Roman"/>
                <w:b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6662" w:type="dxa"/>
            <w:gridSpan w:val="2"/>
            <w:vAlign w:val="center"/>
          </w:tcPr>
          <w:p>
            <w:pPr>
              <w:snapToGrid w:val="0"/>
              <w:rPr>
                <w:rFonts w:hint="default" w:ascii="Times New Roman" w:hAnsi="Times New Roman"/>
                <w:color w:val="333333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GB"/>
              </w:rPr>
              <w:sym w:font="Wingdings" w:char="F0A8"/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2.存在上下游关系的参与集中的经营者，在上下游市场所占的市场份额均小于25%。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3" w:hRule="atLeast"/>
        </w:trPr>
        <w:tc>
          <w:tcPr>
            <w:tcW w:w="1560" w:type="dxa"/>
            <w:vMerge w:val="continue"/>
            <w:shd w:val="clear" w:color="auto" w:fill="D9D9D9"/>
            <w:vAlign w:val="center"/>
          </w:tcPr>
          <w:p>
            <w:pPr>
              <w:snapToGrid w:val="0"/>
              <w:jc w:val="center"/>
              <w:rPr>
                <w:rFonts w:hint="default" w:ascii="Times New Roman" w:hAnsi="Times New Roman"/>
                <w:b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6662" w:type="dxa"/>
            <w:gridSpan w:val="2"/>
            <w:vAlign w:val="center"/>
          </w:tcPr>
          <w:p>
            <w:pPr>
              <w:snapToGrid w:val="0"/>
              <w:rPr>
                <w:rFonts w:hint="default" w:ascii="Times New Roman" w:hAnsi="Times New Roman"/>
                <w:color w:val="333333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sym w:font="Wingdings" w:char="00A8"/>
            </w:r>
            <w:r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</w:t>
            </w:r>
            <w:r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3.不在同一相关市场、也不存在上下游关系的参与集中的经营者，在与交易有关的每个市场所占的份额均小于25%。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4" w:hRule="atLeast"/>
        </w:trPr>
        <w:tc>
          <w:tcPr>
            <w:tcW w:w="1560" w:type="dxa"/>
            <w:vMerge w:val="continue"/>
            <w:shd w:val="clear" w:color="auto" w:fill="D9D9D9"/>
            <w:vAlign w:val="center"/>
          </w:tcPr>
          <w:p>
            <w:pPr>
              <w:snapToGrid w:val="0"/>
              <w:jc w:val="center"/>
              <w:rPr>
                <w:rFonts w:hint="default" w:ascii="Times New Roman" w:hAnsi="Times New Roman"/>
                <w:b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6662" w:type="dxa"/>
            <w:gridSpan w:val="2"/>
            <w:vAlign w:val="center"/>
          </w:tcPr>
          <w:p>
            <w:pPr>
              <w:snapToGrid w:val="0"/>
              <w:rPr>
                <w:rFonts w:hint="default" w:ascii="Times New Roman" w:hAnsi="Times New Roman"/>
                <w:color w:val="333333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GB"/>
              </w:rPr>
              <w:sym w:font="Wingdings" w:char="00A8"/>
            </w:r>
            <w:r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</w:t>
            </w:r>
            <w:r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4.参与集中的经营者在中国境外设立合营企业，合营企业不在中国境内从事经济活动。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560" w:type="dxa"/>
            <w:vMerge w:val="continue"/>
            <w:shd w:val="clear" w:color="auto" w:fill="D9D9D9"/>
            <w:vAlign w:val="center"/>
          </w:tcPr>
          <w:p>
            <w:pPr>
              <w:snapToGrid w:val="0"/>
              <w:jc w:val="center"/>
              <w:rPr>
                <w:rFonts w:hint="default" w:ascii="Times New Roman" w:hAnsi="Times New Roman"/>
                <w:b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6662" w:type="dxa"/>
            <w:gridSpan w:val="2"/>
            <w:vAlign w:val="center"/>
          </w:tcPr>
          <w:p>
            <w:pPr>
              <w:snapToGrid w:val="0"/>
              <w:rPr>
                <w:rFonts w:hint="default" w:ascii="Times New Roman" w:hAnsi="Times New Roman"/>
                <w:color w:val="333333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GB"/>
              </w:rPr>
              <w:sym w:font="Wingdings" w:char="00FE"/>
            </w:r>
            <w:r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</w:t>
            </w:r>
            <w:r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5.参与集中的经营者收购境外企业股权或资产的，该境外企业不在中国境内从事经济活动。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1" w:hRule="atLeast"/>
        </w:trPr>
        <w:tc>
          <w:tcPr>
            <w:tcW w:w="1560" w:type="dxa"/>
            <w:vMerge w:val="continue"/>
            <w:shd w:val="clear" w:color="auto" w:fill="D9D9D9"/>
            <w:vAlign w:val="center"/>
          </w:tcPr>
          <w:p>
            <w:pPr>
              <w:snapToGrid w:val="0"/>
              <w:jc w:val="center"/>
              <w:rPr>
                <w:rFonts w:hint="default" w:ascii="Times New Roman" w:hAnsi="Times New Roman"/>
                <w:b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6662" w:type="dxa"/>
            <w:gridSpan w:val="2"/>
            <w:vAlign w:val="center"/>
          </w:tcPr>
          <w:p>
            <w:pPr>
              <w:snapToGrid w:val="0"/>
              <w:rPr>
                <w:rFonts w:hint="default" w:ascii="Times New Roman" w:hAnsi="Times New Roman"/>
                <w:color w:val="333333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GB"/>
              </w:rPr>
              <w:sym w:font="Wingdings" w:char="F0A8"/>
            </w:r>
            <w:r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</w:t>
            </w:r>
            <w:r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6.由两个以上的经营者共同控制的合营企业，通过集中被其中一个或一个以上经营者控制。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" w:hRule="atLeast"/>
        </w:trPr>
        <w:tc>
          <w:tcPr>
            <w:tcW w:w="1560" w:type="dxa"/>
            <w:shd w:val="clear" w:color="auto" w:fill="D9D9D9"/>
            <w:vAlign w:val="center"/>
          </w:tcPr>
          <w:p>
            <w:pPr>
              <w:snapToGrid w:val="0"/>
              <w:jc w:val="center"/>
              <w:rPr>
                <w:rFonts w:hint="default" w:ascii="Times New Roman" w:hAnsi="Times New Roman"/>
                <w:b/>
                <w:color w:val="333333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color w:val="333333"/>
                <w:kern w:val="0"/>
                <w:sz w:val="24"/>
                <w:szCs w:val="24"/>
              </w:rPr>
              <w:t>备注</w:t>
            </w:r>
          </w:p>
        </w:tc>
        <w:tc>
          <w:tcPr>
            <w:tcW w:w="6662" w:type="dxa"/>
            <w:gridSpan w:val="2"/>
            <w:vAlign w:val="center"/>
          </w:tcPr>
          <w:p>
            <w:pPr>
              <w:pStyle w:val="2"/>
              <w:snapToGrid w:val="0"/>
              <w:spacing w:after="0"/>
              <w:ind w:left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eastAsia="zh-Han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不适用</w:t>
            </w:r>
          </w:p>
        </w:tc>
      </w:tr>
    </w:tbl>
    <w:p>
      <w:pPr>
        <w:spacing w:line="360" w:lineRule="auto"/>
        <w:rPr>
          <w:rFonts w:ascii="Times New Roman" w:hAnsi="Times New Roman"/>
          <w:sz w:val="24"/>
          <w:szCs w:val="24"/>
        </w:rPr>
      </w:pPr>
    </w:p>
    <w:sectPr>
      <w:footerReference r:id="rId3" w:type="default"/>
      <w:footerReference r:id="rId4" w:type="even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等线">
    <w:altName w:val="微软雅黑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等线">
    <w:altName w:val="微软雅黑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微软雅黑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imes New Roman\">
    <w:altName w:val="Segoe Print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Times New Roman Regular">
    <w:altName w:val="Times New Roman"/>
    <w:panose1 w:val="00000000000000000000"/>
    <w:charset w:val="00"/>
    <w:family w:val="auto"/>
    <w:pitch w:val="default"/>
    <w:sig w:usb0="00000000" w:usb1="00000000" w:usb2="00000001" w:usb3="00000000" w:csb0="400001BF" w:csb1="DFF7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rPr>
        <w:rStyle w:val="10"/>
      </w:rPr>
      <w:id w:val="101932355"/>
    </w:sdtPr>
    <w:sdtEndPr>
      <w:rPr>
        <w:rStyle w:val="10"/>
      </w:rPr>
    </w:sdtEndPr>
    <w:sdtContent>
      <w:p>
        <w:pPr>
          <w:pStyle w:val="4"/>
          <w:framePr w:wrap="around" w:vAnchor="text" w:hAnchor="margin" w:xAlign="center" w:y="1"/>
          <w:rPr>
            <w:rStyle w:val="10"/>
          </w:rPr>
        </w:pPr>
        <w:r>
          <w:rPr>
            <w:rStyle w:val="10"/>
          </w:rPr>
          <w:fldChar w:fldCharType="begin"/>
        </w:r>
        <w:r>
          <w:rPr>
            <w:rStyle w:val="10"/>
          </w:rPr>
          <w:instrText xml:space="preserve"> PAGE </w:instrText>
        </w:r>
        <w:r>
          <w:rPr>
            <w:rStyle w:val="10"/>
          </w:rPr>
          <w:fldChar w:fldCharType="separate"/>
        </w:r>
        <w:r>
          <w:rPr>
            <w:rStyle w:val="10"/>
          </w:rPr>
          <w:t>2</w:t>
        </w:r>
        <w:r>
          <w:rPr>
            <w:rStyle w:val="10"/>
          </w:rPr>
          <w:fldChar w:fldCharType="end"/>
        </w:r>
      </w:p>
    </w:sdtContent>
  </w:sdt>
  <w:p>
    <w:pPr>
      <w:pStyle w:val="4"/>
      <w:rPr>
        <w:rFonts w:ascii="Times New Roman" w:hAnsi="Times New Roman"/>
      </w:rPr>
    </w:pPr>
  </w:p>
  <w:p>
    <w:pPr>
      <w:pStyle w:val="4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rPr>
        <w:rStyle w:val="10"/>
      </w:rPr>
      <w:id w:val="1036383314"/>
    </w:sdtPr>
    <w:sdtEndPr>
      <w:rPr>
        <w:rStyle w:val="10"/>
      </w:rPr>
    </w:sdtEndPr>
    <w:sdtContent>
      <w:p>
        <w:pPr>
          <w:pStyle w:val="4"/>
          <w:framePr w:wrap="around" w:vAnchor="text" w:hAnchor="margin" w:xAlign="center" w:y="1"/>
          <w:rPr>
            <w:rStyle w:val="10"/>
          </w:rPr>
        </w:pPr>
        <w:r>
          <w:rPr>
            <w:rStyle w:val="10"/>
          </w:rPr>
          <w:fldChar w:fldCharType="begin"/>
        </w:r>
        <w:r>
          <w:rPr>
            <w:rStyle w:val="10"/>
          </w:rPr>
          <w:instrText xml:space="preserve"> PAGE </w:instrText>
        </w:r>
        <w:r>
          <w:rPr>
            <w:rStyle w:val="10"/>
          </w:rPr>
          <w:fldChar w:fldCharType="separate"/>
        </w:r>
        <w:r>
          <w:rPr>
            <w:rStyle w:val="10"/>
          </w:rPr>
          <w:t>1</w:t>
        </w:r>
        <w:r>
          <w:rPr>
            <w:rStyle w:val="10"/>
          </w:rPr>
          <w:fldChar w:fldCharType="end"/>
        </w:r>
      </w:p>
    </w:sdtContent>
  </w:sdt>
  <w:p>
    <w:pPr>
      <w:pStyle w:val="4"/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1"/>
  <w:bordersDoNotSurroundFooter w:val="1"/>
  <w:hideSpellingErrors/>
  <w:hideGrammaticalErrors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ayMDE0MrU0NTKyMDQwMLBQ0lEKTi0uzszPAykwNK4FAIbOpigtAAAA"/>
  </w:docVars>
  <w:rsids>
    <w:rsidRoot w:val="00CB00DF"/>
    <w:rsid w:val="000008A2"/>
    <w:rsid w:val="00007E12"/>
    <w:rsid w:val="00015F7E"/>
    <w:rsid w:val="00023448"/>
    <w:rsid w:val="00033726"/>
    <w:rsid w:val="00037065"/>
    <w:rsid w:val="00037393"/>
    <w:rsid w:val="000621C8"/>
    <w:rsid w:val="000805A7"/>
    <w:rsid w:val="0008285B"/>
    <w:rsid w:val="000A1753"/>
    <w:rsid w:val="000A79E8"/>
    <w:rsid w:val="000B1EFE"/>
    <w:rsid w:val="000B3AF7"/>
    <w:rsid w:val="000B6AB3"/>
    <w:rsid w:val="000C33EC"/>
    <w:rsid w:val="000C4477"/>
    <w:rsid w:val="000D7EBA"/>
    <w:rsid w:val="000E37ED"/>
    <w:rsid w:val="0010363A"/>
    <w:rsid w:val="001074DB"/>
    <w:rsid w:val="001075C2"/>
    <w:rsid w:val="00113BAE"/>
    <w:rsid w:val="001164CD"/>
    <w:rsid w:val="001219EB"/>
    <w:rsid w:val="001243D9"/>
    <w:rsid w:val="00155717"/>
    <w:rsid w:val="00160E61"/>
    <w:rsid w:val="001620C0"/>
    <w:rsid w:val="00174FB0"/>
    <w:rsid w:val="0017686F"/>
    <w:rsid w:val="001837A3"/>
    <w:rsid w:val="001841F0"/>
    <w:rsid w:val="00187D5C"/>
    <w:rsid w:val="00192989"/>
    <w:rsid w:val="00193BC9"/>
    <w:rsid w:val="001D6662"/>
    <w:rsid w:val="001D7BA1"/>
    <w:rsid w:val="001F2441"/>
    <w:rsid w:val="001F404F"/>
    <w:rsid w:val="00205B89"/>
    <w:rsid w:val="00210E58"/>
    <w:rsid w:val="0021315C"/>
    <w:rsid w:val="00221DC0"/>
    <w:rsid w:val="00244912"/>
    <w:rsid w:val="002553E5"/>
    <w:rsid w:val="00262C69"/>
    <w:rsid w:val="002665EA"/>
    <w:rsid w:val="00270CFB"/>
    <w:rsid w:val="002756C0"/>
    <w:rsid w:val="00277E12"/>
    <w:rsid w:val="00282AB8"/>
    <w:rsid w:val="002840F8"/>
    <w:rsid w:val="0028527F"/>
    <w:rsid w:val="00290E8D"/>
    <w:rsid w:val="002A0E65"/>
    <w:rsid w:val="002B19C8"/>
    <w:rsid w:val="002C4214"/>
    <w:rsid w:val="002E4DAF"/>
    <w:rsid w:val="002F0027"/>
    <w:rsid w:val="002F1E41"/>
    <w:rsid w:val="00306520"/>
    <w:rsid w:val="00310D7A"/>
    <w:rsid w:val="00321595"/>
    <w:rsid w:val="00327C1B"/>
    <w:rsid w:val="00327D03"/>
    <w:rsid w:val="00330E53"/>
    <w:rsid w:val="003546D0"/>
    <w:rsid w:val="0036594B"/>
    <w:rsid w:val="00374778"/>
    <w:rsid w:val="00376EF3"/>
    <w:rsid w:val="003836DF"/>
    <w:rsid w:val="003914FE"/>
    <w:rsid w:val="003A4719"/>
    <w:rsid w:val="003B5C66"/>
    <w:rsid w:val="003B759C"/>
    <w:rsid w:val="003C0AEB"/>
    <w:rsid w:val="003C575D"/>
    <w:rsid w:val="003D13C3"/>
    <w:rsid w:val="003D33C2"/>
    <w:rsid w:val="003D6589"/>
    <w:rsid w:val="003D7240"/>
    <w:rsid w:val="003E4188"/>
    <w:rsid w:val="003E7483"/>
    <w:rsid w:val="003F0F68"/>
    <w:rsid w:val="00403238"/>
    <w:rsid w:val="004308B1"/>
    <w:rsid w:val="00431B69"/>
    <w:rsid w:val="004440BF"/>
    <w:rsid w:val="00446B6C"/>
    <w:rsid w:val="00456292"/>
    <w:rsid w:val="00460182"/>
    <w:rsid w:val="00460715"/>
    <w:rsid w:val="004710D8"/>
    <w:rsid w:val="0049022F"/>
    <w:rsid w:val="004A6903"/>
    <w:rsid w:val="004A74EA"/>
    <w:rsid w:val="004B7055"/>
    <w:rsid w:val="004C2A4E"/>
    <w:rsid w:val="004E45F8"/>
    <w:rsid w:val="004F5A9E"/>
    <w:rsid w:val="004F6DFE"/>
    <w:rsid w:val="004F7688"/>
    <w:rsid w:val="00501C72"/>
    <w:rsid w:val="00507846"/>
    <w:rsid w:val="005124C5"/>
    <w:rsid w:val="00517D6E"/>
    <w:rsid w:val="00527F83"/>
    <w:rsid w:val="005330AE"/>
    <w:rsid w:val="00536FFB"/>
    <w:rsid w:val="00546F6E"/>
    <w:rsid w:val="00565A60"/>
    <w:rsid w:val="0057155A"/>
    <w:rsid w:val="00573060"/>
    <w:rsid w:val="00574E95"/>
    <w:rsid w:val="00577FEE"/>
    <w:rsid w:val="005A28D4"/>
    <w:rsid w:val="005C19BE"/>
    <w:rsid w:val="005C480C"/>
    <w:rsid w:val="005E03E0"/>
    <w:rsid w:val="005E6D2F"/>
    <w:rsid w:val="005F3D2C"/>
    <w:rsid w:val="00606984"/>
    <w:rsid w:val="00630E72"/>
    <w:rsid w:val="00633689"/>
    <w:rsid w:val="006344D5"/>
    <w:rsid w:val="006454DC"/>
    <w:rsid w:val="006467D8"/>
    <w:rsid w:val="00651F9C"/>
    <w:rsid w:val="00652DFD"/>
    <w:rsid w:val="00655935"/>
    <w:rsid w:val="006613CF"/>
    <w:rsid w:val="00661A6A"/>
    <w:rsid w:val="00664EE8"/>
    <w:rsid w:val="00672E27"/>
    <w:rsid w:val="006A26E7"/>
    <w:rsid w:val="006A531B"/>
    <w:rsid w:val="006C3B43"/>
    <w:rsid w:val="006D0C1D"/>
    <w:rsid w:val="006E0315"/>
    <w:rsid w:val="006E090A"/>
    <w:rsid w:val="006E7350"/>
    <w:rsid w:val="006F6D0D"/>
    <w:rsid w:val="006F7693"/>
    <w:rsid w:val="00710140"/>
    <w:rsid w:val="0071523D"/>
    <w:rsid w:val="0073095D"/>
    <w:rsid w:val="007368D3"/>
    <w:rsid w:val="00747C43"/>
    <w:rsid w:val="00750E69"/>
    <w:rsid w:val="00751BF9"/>
    <w:rsid w:val="007634A9"/>
    <w:rsid w:val="00770406"/>
    <w:rsid w:val="00781530"/>
    <w:rsid w:val="00781FBE"/>
    <w:rsid w:val="00785B33"/>
    <w:rsid w:val="00786E33"/>
    <w:rsid w:val="00790846"/>
    <w:rsid w:val="00791F3B"/>
    <w:rsid w:val="00792DE6"/>
    <w:rsid w:val="0079392B"/>
    <w:rsid w:val="00795B68"/>
    <w:rsid w:val="007A0E1F"/>
    <w:rsid w:val="007B0601"/>
    <w:rsid w:val="007B1376"/>
    <w:rsid w:val="007B5CD6"/>
    <w:rsid w:val="007D4B97"/>
    <w:rsid w:val="007D7F44"/>
    <w:rsid w:val="007E3AA2"/>
    <w:rsid w:val="007F007A"/>
    <w:rsid w:val="007F2275"/>
    <w:rsid w:val="00814F82"/>
    <w:rsid w:val="00820F6C"/>
    <w:rsid w:val="00826D44"/>
    <w:rsid w:val="008568B2"/>
    <w:rsid w:val="00863DD9"/>
    <w:rsid w:val="008757A0"/>
    <w:rsid w:val="008911E2"/>
    <w:rsid w:val="00897E60"/>
    <w:rsid w:val="008A3F57"/>
    <w:rsid w:val="008A5D31"/>
    <w:rsid w:val="008C1F60"/>
    <w:rsid w:val="008C5AA1"/>
    <w:rsid w:val="008D6F90"/>
    <w:rsid w:val="008E1316"/>
    <w:rsid w:val="0090190F"/>
    <w:rsid w:val="0090484C"/>
    <w:rsid w:val="0091055C"/>
    <w:rsid w:val="00913CC5"/>
    <w:rsid w:val="00914BB4"/>
    <w:rsid w:val="00914C14"/>
    <w:rsid w:val="00915F0F"/>
    <w:rsid w:val="00921113"/>
    <w:rsid w:val="00922588"/>
    <w:rsid w:val="00925DD4"/>
    <w:rsid w:val="00940FA2"/>
    <w:rsid w:val="009532DF"/>
    <w:rsid w:val="00970077"/>
    <w:rsid w:val="00970109"/>
    <w:rsid w:val="009716B1"/>
    <w:rsid w:val="009722D7"/>
    <w:rsid w:val="009726EB"/>
    <w:rsid w:val="0097361C"/>
    <w:rsid w:val="009775EB"/>
    <w:rsid w:val="0098549D"/>
    <w:rsid w:val="0099253A"/>
    <w:rsid w:val="00994C75"/>
    <w:rsid w:val="00997019"/>
    <w:rsid w:val="009A5029"/>
    <w:rsid w:val="009B2582"/>
    <w:rsid w:val="009C2302"/>
    <w:rsid w:val="009C6CDD"/>
    <w:rsid w:val="009D154A"/>
    <w:rsid w:val="009D2953"/>
    <w:rsid w:val="009D38D5"/>
    <w:rsid w:val="00A01E75"/>
    <w:rsid w:val="00A209CF"/>
    <w:rsid w:val="00A232E7"/>
    <w:rsid w:val="00A3629B"/>
    <w:rsid w:val="00A45A34"/>
    <w:rsid w:val="00A53F26"/>
    <w:rsid w:val="00A60D74"/>
    <w:rsid w:val="00A62FD3"/>
    <w:rsid w:val="00A738A5"/>
    <w:rsid w:val="00A859F5"/>
    <w:rsid w:val="00AA06A4"/>
    <w:rsid w:val="00AA0CC5"/>
    <w:rsid w:val="00AA4B98"/>
    <w:rsid w:val="00AA6A9A"/>
    <w:rsid w:val="00AD1134"/>
    <w:rsid w:val="00AD4346"/>
    <w:rsid w:val="00AE66F4"/>
    <w:rsid w:val="00AE7500"/>
    <w:rsid w:val="00AF347F"/>
    <w:rsid w:val="00AF73B9"/>
    <w:rsid w:val="00B05F2C"/>
    <w:rsid w:val="00B07137"/>
    <w:rsid w:val="00B0718F"/>
    <w:rsid w:val="00B13380"/>
    <w:rsid w:val="00B16AB0"/>
    <w:rsid w:val="00B16AFE"/>
    <w:rsid w:val="00B318AA"/>
    <w:rsid w:val="00B33424"/>
    <w:rsid w:val="00B34FA8"/>
    <w:rsid w:val="00B404D6"/>
    <w:rsid w:val="00B40C02"/>
    <w:rsid w:val="00B42D28"/>
    <w:rsid w:val="00B65DD5"/>
    <w:rsid w:val="00B70376"/>
    <w:rsid w:val="00B73911"/>
    <w:rsid w:val="00B75A8E"/>
    <w:rsid w:val="00B80621"/>
    <w:rsid w:val="00BA1490"/>
    <w:rsid w:val="00BA4781"/>
    <w:rsid w:val="00BA4F4C"/>
    <w:rsid w:val="00BB45A9"/>
    <w:rsid w:val="00BB4B0E"/>
    <w:rsid w:val="00BD10B6"/>
    <w:rsid w:val="00BF0375"/>
    <w:rsid w:val="00BF04EE"/>
    <w:rsid w:val="00C02B30"/>
    <w:rsid w:val="00C0529C"/>
    <w:rsid w:val="00C07076"/>
    <w:rsid w:val="00C22854"/>
    <w:rsid w:val="00C27283"/>
    <w:rsid w:val="00C34349"/>
    <w:rsid w:val="00C34C53"/>
    <w:rsid w:val="00C37318"/>
    <w:rsid w:val="00C4141E"/>
    <w:rsid w:val="00C63DD9"/>
    <w:rsid w:val="00C6435F"/>
    <w:rsid w:val="00C7145B"/>
    <w:rsid w:val="00C84AC2"/>
    <w:rsid w:val="00C8621B"/>
    <w:rsid w:val="00C930E6"/>
    <w:rsid w:val="00CA2702"/>
    <w:rsid w:val="00CB00DF"/>
    <w:rsid w:val="00CB417F"/>
    <w:rsid w:val="00CB562C"/>
    <w:rsid w:val="00CD267A"/>
    <w:rsid w:val="00D062FF"/>
    <w:rsid w:val="00D12E41"/>
    <w:rsid w:val="00D24615"/>
    <w:rsid w:val="00D30790"/>
    <w:rsid w:val="00D36758"/>
    <w:rsid w:val="00D40A98"/>
    <w:rsid w:val="00D52D89"/>
    <w:rsid w:val="00D73C72"/>
    <w:rsid w:val="00D77F46"/>
    <w:rsid w:val="00D81806"/>
    <w:rsid w:val="00D90D2F"/>
    <w:rsid w:val="00DA04B8"/>
    <w:rsid w:val="00DB0837"/>
    <w:rsid w:val="00DB5728"/>
    <w:rsid w:val="00DC1EF2"/>
    <w:rsid w:val="00DD7AE0"/>
    <w:rsid w:val="00DD7B1B"/>
    <w:rsid w:val="00DE2572"/>
    <w:rsid w:val="00DE5A0A"/>
    <w:rsid w:val="00DF399D"/>
    <w:rsid w:val="00E0592B"/>
    <w:rsid w:val="00E05BA1"/>
    <w:rsid w:val="00E152D6"/>
    <w:rsid w:val="00E31738"/>
    <w:rsid w:val="00E4031B"/>
    <w:rsid w:val="00E41679"/>
    <w:rsid w:val="00E54B7E"/>
    <w:rsid w:val="00E73537"/>
    <w:rsid w:val="00E86786"/>
    <w:rsid w:val="00E92AFB"/>
    <w:rsid w:val="00E9767B"/>
    <w:rsid w:val="00EC46F4"/>
    <w:rsid w:val="00ED18BB"/>
    <w:rsid w:val="00ED2F80"/>
    <w:rsid w:val="00ED6CCB"/>
    <w:rsid w:val="00EE0209"/>
    <w:rsid w:val="00EE2D3F"/>
    <w:rsid w:val="00EE396D"/>
    <w:rsid w:val="00F1624E"/>
    <w:rsid w:val="00F32F8A"/>
    <w:rsid w:val="00F4248C"/>
    <w:rsid w:val="00F42A51"/>
    <w:rsid w:val="00F54E49"/>
    <w:rsid w:val="00F56C33"/>
    <w:rsid w:val="00F62907"/>
    <w:rsid w:val="00F70956"/>
    <w:rsid w:val="00F810AA"/>
    <w:rsid w:val="00F906D4"/>
    <w:rsid w:val="00FA5C10"/>
    <w:rsid w:val="00FB43EC"/>
    <w:rsid w:val="00FB6B40"/>
    <w:rsid w:val="00FC39F1"/>
    <w:rsid w:val="00FC6030"/>
    <w:rsid w:val="00FE20AC"/>
    <w:rsid w:val="00FF1905"/>
    <w:rsid w:val="22FF3B16"/>
    <w:rsid w:val="41997934"/>
    <w:rsid w:val="468D3E98"/>
    <w:rsid w:val="57FF8B87"/>
    <w:rsid w:val="627D40F2"/>
    <w:rsid w:val="62C6035E"/>
    <w:rsid w:val="6C5F4EDC"/>
    <w:rsid w:val="6D7E4210"/>
    <w:rsid w:val="71CF3888"/>
    <w:rsid w:val="72991E13"/>
    <w:rsid w:val="7D7D6117"/>
    <w:rsid w:val="7F3D1ED8"/>
    <w:rsid w:val="A21E15C1"/>
    <w:rsid w:val="B77FE36B"/>
    <w:rsid w:val="BCF55DFD"/>
    <w:rsid w:val="D3B716E7"/>
    <w:rsid w:val="E6D7BC72"/>
    <w:rsid w:val="FAFB301C"/>
    <w:rsid w:val="FEEFDCB5"/>
    <w:rsid w:val="FFC77E09"/>
    <w:rsid w:val="FFE156B2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nhideWhenUsed="0" w:uiPriority="0" w:semiHidden="0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iPriority="0" w:semiHidden="0" w:name="footnote reference"/>
    <w:lsdException w:uiPriority="99" w:name="annotation reference"/>
    <w:lsdException w:uiPriority="99" w:name="line number"/>
    <w:lsdException w:qFormat="1" w:uiPriority="99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9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link w:val="21"/>
    <w:unhideWhenUsed/>
    <w:qFormat/>
    <w:uiPriority w:val="0"/>
    <w:pPr>
      <w:keepNext/>
      <w:keepLines/>
      <w:tabs>
        <w:tab w:val="left" w:pos="6120"/>
      </w:tabs>
      <w:spacing w:after="240"/>
      <w:ind w:left="1080"/>
    </w:pPr>
  </w:style>
  <w:style w:type="paragraph" w:styleId="3">
    <w:name w:val="Balloon Text"/>
    <w:basedOn w:val="1"/>
    <w:link w:val="16"/>
    <w:unhideWhenUsed/>
    <w:qFormat/>
    <w:uiPriority w:val="99"/>
    <w:rPr>
      <w:sz w:val="18"/>
      <w:szCs w:val="18"/>
    </w:rPr>
  </w:style>
  <w:style w:type="paragraph" w:styleId="4">
    <w:name w:val="footer"/>
    <w:basedOn w:val="1"/>
    <w:link w:val="15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4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footnote text"/>
    <w:basedOn w:val="1"/>
    <w:link w:val="18"/>
    <w:qFormat/>
    <w:uiPriority w:val="0"/>
    <w:pPr>
      <w:snapToGrid w:val="0"/>
      <w:jc w:val="left"/>
    </w:pPr>
    <w:rPr>
      <w:rFonts w:ascii="Times New Roman" w:hAnsi="Times New Roman"/>
      <w:sz w:val="18"/>
      <w:szCs w:val="18"/>
    </w:rPr>
  </w:style>
  <w:style w:type="table" w:styleId="8">
    <w:name w:val="Table Grid"/>
    <w:basedOn w:val="7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0">
    <w:name w:val="page number"/>
    <w:basedOn w:val="9"/>
    <w:unhideWhenUsed/>
    <w:qFormat/>
    <w:uiPriority w:val="99"/>
  </w:style>
  <w:style w:type="character" w:styleId="11">
    <w:name w:val="Hyperlink"/>
    <w:basedOn w:val="9"/>
    <w:unhideWhenUsed/>
    <w:qFormat/>
    <w:uiPriority w:val="99"/>
    <w:rPr>
      <w:color w:val="0000FF"/>
      <w:u w:val="single"/>
    </w:rPr>
  </w:style>
  <w:style w:type="character" w:styleId="12">
    <w:name w:val="footnote reference"/>
    <w:link w:val="13"/>
    <w:unhideWhenUsed/>
    <w:qFormat/>
    <w:uiPriority w:val="0"/>
    <w:rPr>
      <w:vertAlign w:val="superscript"/>
    </w:rPr>
  </w:style>
  <w:style w:type="paragraph" w:customStyle="1" w:styleId="13">
    <w:name w:val="Z_Footnote Text"/>
    <w:basedOn w:val="1"/>
    <w:link w:val="12"/>
    <w:qFormat/>
    <w:uiPriority w:val="0"/>
    <w:pPr>
      <w:widowControl/>
      <w:spacing w:after="160" w:line="240" w:lineRule="exact"/>
      <w:jc w:val="left"/>
    </w:pPr>
    <w:rPr>
      <w:rFonts w:asciiTheme="minorHAnsi" w:hAnsiTheme="minorHAnsi" w:eastAsiaTheme="minorEastAsia" w:cstheme="minorBidi"/>
      <w:kern w:val="0"/>
      <w:sz w:val="20"/>
      <w:szCs w:val="20"/>
      <w:vertAlign w:val="superscript"/>
    </w:rPr>
  </w:style>
  <w:style w:type="character" w:customStyle="1" w:styleId="14">
    <w:name w:val="页眉 字符"/>
    <w:basedOn w:val="9"/>
    <w:link w:val="5"/>
    <w:qFormat/>
    <w:uiPriority w:val="99"/>
    <w:rPr>
      <w:rFonts w:ascii="Calibri" w:hAnsi="Calibri" w:eastAsia="宋体" w:cs="Times New Roman"/>
      <w:sz w:val="18"/>
      <w:szCs w:val="18"/>
    </w:rPr>
  </w:style>
  <w:style w:type="character" w:customStyle="1" w:styleId="15">
    <w:name w:val="页脚 字符"/>
    <w:basedOn w:val="9"/>
    <w:link w:val="4"/>
    <w:qFormat/>
    <w:uiPriority w:val="99"/>
    <w:rPr>
      <w:rFonts w:ascii="Calibri" w:hAnsi="Calibri" w:eastAsia="宋体" w:cs="Times New Roman"/>
      <w:sz w:val="18"/>
      <w:szCs w:val="18"/>
    </w:rPr>
  </w:style>
  <w:style w:type="character" w:customStyle="1" w:styleId="16">
    <w:name w:val="批注框文本 字符"/>
    <w:basedOn w:val="9"/>
    <w:link w:val="3"/>
    <w:semiHidden/>
    <w:qFormat/>
    <w:uiPriority w:val="99"/>
    <w:rPr>
      <w:rFonts w:ascii="Calibri" w:hAnsi="Calibri" w:eastAsia="宋体" w:cs="Times New Roman"/>
      <w:sz w:val="18"/>
      <w:szCs w:val="18"/>
    </w:rPr>
  </w:style>
  <w:style w:type="paragraph" w:customStyle="1" w:styleId="17">
    <w:name w:val="列表段落1"/>
    <w:basedOn w:val="1"/>
    <w:qFormat/>
    <w:uiPriority w:val="34"/>
    <w:pPr>
      <w:ind w:firstLine="420" w:firstLineChars="200"/>
    </w:pPr>
    <w:rPr>
      <w:rFonts w:ascii="Times New Roman" w:hAnsi="Times New Roman" w:eastAsiaTheme="minorEastAsia"/>
    </w:rPr>
  </w:style>
  <w:style w:type="character" w:customStyle="1" w:styleId="18">
    <w:name w:val="脚注文本 字符"/>
    <w:link w:val="6"/>
    <w:qFormat/>
    <w:uiPriority w:val="0"/>
    <w:rPr>
      <w:rFonts w:ascii="Times New Roman" w:hAnsi="Times New Roman" w:eastAsia="宋体" w:cs="Times New Roman"/>
      <w:sz w:val="18"/>
      <w:szCs w:val="18"/>
    </w:rPr>
  </w:style>
  <w:style w:type="character" w:customStyle="1" w:styleId="19">
    <w:name w:val="Footnote Text Char1"/>
    <w:basedOn w:val="9"/>
    <w:semiHidden/>
    <w:qFormat/>
    <w:uiPriority w:val="99"/>
    <w:rPr>
      <w:rFonts w:ascii="Calibri" w:hAnsi="Calibri" w:eastAsia="宋体" w:cs="Times New Roman"/>
      <w:sz w:val="20"/>
      <w:szCs w:val="20"/>
    </w:rPr>
  </w:style>
  <w:style w:type="paragraph" w:customStyle="1" w:styleId="20">
    <w:name w:val="修订1"/>
    <w:hidden/>
    <w:semiHidden/>
    <w:qFormat/>
    <w:uiPriority w:val="99"/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21">
    <w:name w:val="正文文本 字符"/>
    <w:basedOn w:val="9"/>
    <w:link w:val="2"/>
    <w:qFormat/>
    <w:uiPriority w:val="0"/>
    <w:rPr>
      <w:rFonts w:ascii="Calibri" w:hAnsi="Calibri" w:eastAsia="宋体" w:cs="Times New Roman"/>
      <w:kern w:val="2"/>
      <w:sz w:val="21"/>
      <w:szCs w:val="22"/>
    </w:rPr>
  </w:style>
  <w:style w:type="paragraph" w:customStyle="1" w:styleId="22">
    <w:name w:val="修订2"/>
    <w:hidden/>
    <w:semiHidden/>
    <w:qFormat/>
    <w:uiPriority w:val="99"/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3">
    <w:name w:val="Revision"/>
    <w:hidden/>
    <w:semiHidden/>
    <w:qFormat/>
    <w:uiPriority w:val="99"/>
    <w:rPr>
      <w:rFonts w:ascii="Calibri" w:hAnsi="Calibri" w:eastAsia="宋体" w:cs="Times New Roman"/>
      <w:kern w:val="2"/>
      <w:sz w:val="21"/>
      <w:szCs w:val="22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141</Words>
  <Characters>807</Characters>
  <Lines>6</Lines>
  <Paragraphs>1</Paragraphs>
  <TotalTime>88</TotalTime>
  <ScaleCrop>false</ScaleCrop>
  <LinksUpToDate>false</LinksUpToDate>
  <CharactersWithSpaces>947</CharactersWithSpaces>
  <Application>WPS Office_11.8.2.10393_F1E327BC-269C-435d-A152-05C5408002CA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2022-03-31T19:42:00Z</dcterms:created>
  <dc:creator>陈媚</dc:creator>
  <cp:lastModifiedBy>袁振</cp:lastModifiedBy>
  <dcterms:modified xsi:type="dcterms:W3CDTF">2022-06-14T00:39:08Z</dcterms:modified>
  <dc:title>经营者集中简易案件公示表</dc:title>
  <cp:revision>63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2052-11.8.2.10393</vt:lpwstr>
  </property>
</Properties>
</file>