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center"/>
        <w:rPr>
          <w:rFonts w:ascii="黑体" w:hAnsi="黑体" w:eastAsia="黑体"/>
          <w:b/>
          <w:bCs/>
          <w:sz w:val="36"/>
          <w:szCs w:val="36"/>
        </w:rPr>
      </w:pPr>
      <w:r>
        <w:rPr>
          <w:rFonts w:hint="eastAsia" w:ascii="黑体" w:hAnsi="黑体" w:eastAsia="黑体"/>
          <w:b/>
          <w:bCs/>
          <w:sz w:val="36"/>
          <w:szCs w:val="36"/>
        </w:rPr>
        <w:t>经营者集中简易案件公示表</w:t>
      </w:r>
    </w:p>
    <w:p>
      <w:pPr>
        <w:snapToGrid w:val="0"/>
        <w:jc w:val="center"/>
        <w:rPr>
          <w:rFonts w:asciiTheme="majorEastAsia" w:hAnsiTheme="majorEastAsia" w:eastAsiaTheme="majorEastAsia"/>
          <w:b/>
          <w:bCs/>
          <w:sz w:val="24"/>
          <w:szCs w:val="24"/>
        </w:rPr>
      </w:pPr>
    </w:p>
    <w:tbl>
      <w:tblPr>
        <w:tblStyle w:val="8"/>
        <w:tblW w:w="83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270"/>
        <w:gridCol w:w="5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9D9D9"/>
          </w:tcPr>
          <w:p>
            <w:pPr>
              <w:snapToGrid w:val="0"/>
              <w:rPr>
                <w:rFonts w:cs="Times" w:asciiTheme="minorEastAsia" w:hAnsiTheme="minorEastAsia" w:eastAsiaTheme="minorEastAsia"/>
                <w:b/>
                <w:sz w:val="24"/>
                <w:szCs w:val="24"/>
              </w:rPr>
            </w:pPr>
          </w:p>
        </w:tc>
        <w:tc>
          <w:tcPr>
            <w:tcW w:w="6570" w:type="dxa"/>
            <w:gridSpan w:val="2"/>
            <w:vAlign w:val="center"/>
          </w:tcPr>
          <w:p>
            <w:pPr>
              <w:snapToGrid w:val="0"/>
              <w:rPr>
                <w:rFonts w:ascii="Times New Roman" w:hAnsi="Times New Roman" w:eastAsiaTheme="minorEastAsia"/>
                <w:sz w:val="24"/>
                <w:szCs w:val="24"/>
              </w:rPr>
            </w:pPr>
            <w:r>
              <w:rPr>
                <w:rFonts w:ascii="Times New Roman" w:hAnsi="Times New Roman" w:eastAsiaTheme="minorEastAsia"/>
                <w:kern w:val="0"/>
                <w:sz w:val="24"/>
                <w:szCs w:val="24"/>
              </w:rPr>
              <w:t>Ares Management Corporation收购瑞安有限公司股权案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0" w:type="dxa"/>
            <w:shd w:val="clear" w:color="auto" w:fill="D9D9D9"/>
          </w:tcPr>
          <w:p>
            <w:pPr>
              <w:snapToGrid w:val="0"/>
              <w:rPr>
                <w:rFonts w:cs="Times" w:asciiTheme="minorEastAsia" w:hAnsiTheme="minorEastAsia" w:eastAsiaTheme="minorEastAsia"/>
                <w:b/>
                <w:sz w:val="24"/>
                <w:szCs w:val="24"/>
              </w:rPr>
            </w:pPr>
            <w:r>
              <w:rPr>
                <w:rFonts w:hint="eastAsia" w:cs="Times" w:asciiTheme="minorEastAsia" w:hAnsiTheme="minorEastAsia" w:eastAsiaTheme="minorEastAsia"/>
                <w:b/>
                <w:sz w:val="24"/>
                <w:szCs w:val="24"/>
              </w:rPr>
              <w:t>交易概况（</w:t>
            </w:r>
            <w:r>
              <w:rPr>
                <w:rFonts w:hint="eastAsia" w:cs="Arial" w:asciiTheme="minorEastAsia" w:hAnsiTheme="minorEastAsia" w:eastAsiaTheme="minorEastAsia"/>
                <w:b/>
                <w:bCs/>
                <w:kern w:val="0"/>
                <w:sz w:val="24"/>
                <w:szCs w:val="24"/>
              </w:rPr>
              <w:t>限</w:t>
            </w:r>
            <w:r>
              <w:rPr>
                <w:rFonts w:cs="Arial" w:asciiTheme="minorEastAsia" w:hAnsiTheme="minorEastAsia" w:eastAsiaTheme="minorEastAsia"/>
                <w:b/>
                <w:bCs/>
                <w:kern w:val="0"/>
                <w:sz w:val="24"/>
                <w:szCs w:val="24"/>
              </w:rPr>
              <w:t>200</w:t>
            </w:r>
            <w:r>
              <w:rPr>
                <w:rFonts w:hint="eastAsia" w:cs="Arial" w:asciiTheme="minorEastAsia" w:hAnsiTheme="minorEastAsia" w:eastAsiaTheme="minorEastAsia"/>
                <w:b/>
                <w:bCs/>
                <w:kern w:val="0"/>
                <w:sz w:val="24"/>
                <w:szCs w:val="24"/>
              </w:rPr>
              <w:t>字内）</w:t>
            </w:r>
          </w:p>
        </w:tc>
        <w:tc>
          <w:tcPr>
            <w:tcW w:w="6570" w:type="dxa"/>
            <w:gridSpan w:val="2"/>
          </w:tcPr>
          <w:p>
            <w:pPr>
              <w:snapToGrid w:val="0"/>
              <w:rPr>
                <w:rFonts w:ascii="Times New Roman" w:hAnsi="Times New Roman" w:eastAsiaTheme="minorEastAsia"/>
                <w:sz w:val="24"/>
                <w:szCs w:val="24"/>
              </w:rPr>
            </w:pPr>
            <w:r>
              <w:rPr>
                <w:rFonts w:ascii="Times New Roman" w:hAnsi="Times New Roman" w:eastAsiaTheme="minorEastAsia"/>
                <w:kern w:val="0"/>
                <w:sz w:val="24"/>
                <w:szCs w:val="24"/>
              </w:rPr>
              <w:t>Ares Management Corporation</w:t>
            </w:r>
            <w:r>
              <w:rPr>
                <w:rFonts w:ascii="Times New Roman" w:hAnsi="Times New Roman" w:eastAsiaTheme="minorEastAsia"/>
                <w:sz w:val="24"/>
                <w:szCs w:val="24"/>
              </w:rPr>
              <w:t>（“</w:t>
            </w:r>
            <w:r>
              <w:rPr>
                <w:rFonts w:ascii="Times New Roman" w:hAnsi="Times New Roman" w:eastAsiaTheme="minorEastAsia"/>
                <w:kern w:val="0"/>
                <w:sz w:val="24"/>
                <w:szCs w:val="24"/>
              </w:rPr>
              <w:t>Ares</w:t>
            </w:r>
            <w:r>
              <w:rPr>
                <w:rFonts w:ascii="Times New Roman" w:hAnsi="Times New Roman" w:eastAsiaTheme="minorEastAsia"/>
                <w:sz w:val="24"/>
                <w:szCs w:val="24"/>
              </w:rPr>
              <w:t>”）通过其关联企业管理的基金与奥乃克斯公司（“奥乃克斯”）的关联企业、</w:t>
            </w:r>
            <w:r>
              <w:rPr>
                <w:rFonts w:ascii="Times New Roman" w:hAnsi="Times New Roman" w:eastAsiaTheme="minorEastAsia"/>
                <w:kern w:val="0"/>
                <w:sz w:val="24"/>
                <w:szCs w:val="24"/>
              </w:rPr>
              <w:t>G. Brint Ryan（“创始人</w:t>
            </w:r>
            <w:r>
              <w:rPr>
                <w:rFonts w:ascii="Times New Roman" w:hAnsi="Times New Roman" w:eastAsiaTheme="minorEastAsia"/>
                <w:sz w:val="24"/>
                <w:szCs w:val="24"/>
              </w:rPr>
              <w:t>”)及某些非控股少数股东签订协议，收购</w:t>
            </w:r>
            <w:r>
              <w:rPr>
                <w:rFonts w:ascii="Times New Roman" w:hAnsi="Times New Roman" w:eastAsiaTheme="minorEastAsia"/>
                <w:kern w:val="0"/>
                <w:sz w:val="24"/>
                <w:szCs w:val="24"/>
              </w:rPr>
              <w:t>瑞安有限公司（“目标公司”）约28%的股权（“交易”）。</w:t>
            </w:r>
          </w:p>
          <w:p>
            <w:pPr>
              <w:snapToGrid w:val="0"/>
              <w:rPr>
                <w:rFonts w:ascii="Times New Roman" w:hAnsi="Times New Roman" w:eastAsiaTheme="minorEastAsia"/>
                <w:sz w:val="24"/>
                <w:szCs w:val="24"/>
              </w:rPr>
            </w:pPr>
            <w:r>
              <w:rPr>
                <w:rFonts w:ascii="Times New Roman" w:hAnsi="Times New Roman" w:eastAsiaTheme="minorEastAsia"/>
                <w:sz w:val="24"/>
                <w:szCs w:val="24"/>
              </w:rPr>
              <w:t>交易前，奥乃克斯（通过其</w:t>
            </w:r>
            <w:r>
              <w:rPr>
                <w:rFonts w:ascii="Times New Roman" w:hAnsi="Times New Roman" w:eastAsiaTheme="minorEastAsia"/>
                <w:kern w:val="0"/>
                <w:sz w:val="24"/>
                <w:szCs w:val="24"/>
              </w:rPr>
              <w:t>关联企业）和创始人分别持有目标公司47%和20%的控制性股权，少数股东持有33%的非控制性股权。交易后，Ares、奥乃克斯</w:t>
            </w:r>
            <w:r>
              <w:rPr>
                <w:rFonts w:ascii="Times New Roman" w:hAnsi="Times New Roman" w:eastAsiaTheme="minorEastAsia"/>
                <w:sz w:val="24"/>
                <w:szCs w:val="24"/>
              </w:rPr>
              <w:t>（通过其</w:t>
            </w:r>
            <w:r>
              <w:rPr>
                <w:rFonts w:ascii="Times New Roman" w:hAnsi="Times New Roman" w:eastAsiaTheme="minorEastAsia"/>
                <w:kern w:val="0"/>
                <w:sz w:val="24"/>
                <w:szCs w:val="24"/>
              </w:rPr>
              <w:t>关联企业）和创始人将共同控制目标公司。Ares关联企业管理的基金、奥乃克斯</w:t>
            </w:r>
            <w:r>
              <w:rPr>
                <w:rFonts w:ascii="Times New Roman" w:hAnsi="Times New Roman" w:eastAsiaTheme="minorEastAsia"/>
                <w:sz w:val="24"/>
                <w:szCs w:val="24"/>
              </w:rPr>
              <w:t>（通过其</w:t>
            </w:r>
            <w:r>
              <w:rPr>
                <w:rFonts w:ascii="Times New Roman" w:hAnsi="Times New Roman" w:eastAsiaTheme="minorEastAsia"/>
                <w:kern w:val="0"/>
                <w:sz w:val="24"/>
                <w:szCs w:val="24"/>
              </w:rPr>
              <w:t>关联企业）和创始人将分别持有目标公司约28%、31%和15%的控制性</w:t>
            </w:r>
            <w:r>
              <w:rPr>
                <w:rFonts w:ascii="Times New Roman" w:hAnsi="Times New Roman" w:eastAsiaTheme="minorEastAsia"/>
                <w:sz w:val="24"/>
                <w:szCs w:val="24"/>
              </w:rPr>
              <w:t>股权，少数股东持有目标公司约26%的非控制性股权。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0" w:type="dxa"/>
            <w:vMerge w:val="restart"/>
            <w:shd w:val="clear" w:color="auto" w:fill="D9D9D9"/>
          </w:tcPr>
          <w:p>
            <w:pPr>
              <w:snapToGrid w:val="0"/>
              <w:rPr>
                <w:rFonts w:cs="Times" w:asciiTheme="minorEastAsia" w:hAnsiTheme="minorEastAsia" w:eastAsiaTheme="minorEastAsia"/>
                <w:b/>
                <w:sz w:val="24"/>
                <w:szCs w:val="24"/>
              </w:rPr>
            </w:pPr>
            <w:r>
              <w:rPr>
                <w:rFonts w:hint="eastAsia" w:cs="Times" w:asciiTheme="minorEastAsia" w:hAnsiTheme="minorEastAsia" w:eastAsiaTheme="minorEastAsia"/>
                <w:b/>
                <w:sz w:val="24"/>
                <w:szCs w:val="24"/>
              </w:rPr>
              <w:t>参与集中的经营者简介</w:t>
            </w:r>
          </w:p>
        </w:tc>
        <w:tc>
          <w:tcPr>
            <w:tcW w:w="1270" w:type="dxa"/>
          </w:tcPr>
          <w:p>
            <w:pPr>
              <w:snapToGrid w:val="0"/>
              <w:rPr>
                <w:rFonts w:ascii="Times New Roman" w:hAnsi="Times New Roman" w:eastAsiaTheme="minorEastAsia"/>
                <w:kern w:val="0"/>
                <w:sz w:val="24"/>
                <w:szCs w:val="24"/>
              </w:rPr>
            </w:pPr>
            <w:r>
              <w:rPr>
                <w:rFonts w:ascii="Times New Roman" w:hAnsi="Times New Roman" w:eastAsiaTheme="minorEastAsia"/>
                <w:kern w:val="0"/>
                <w:sz w:val="24"/>
                <w:szCs w:val="24"/>
              </w:rPr>
              <w:t>1、Ares</w:t>
            </w:r>
          </w:p>
        </w:tc>
        <w:tc>
          <w:tcPr>
            <w:tcW w:w="5300" w:type="dxa"/>
          </w:tcPr>
          <w:p>
            <w:pPr>
              <w:snapToGrid w:val="0"/>
              <w:rPr>
                <w:rFonts w:hint="eastAsia" w:ascii="Times New Roman" w:hAnsi="Times New Roman" w:eastAsiaTheme="minorEastAsia"/>
                <w:kern w:val="0"/>
                <w:sz w:val="24"/>
                <w:szCs w:val="24"/>
              </w:rPr>
            </w:pPr>
            <w:r>
              <w:rPr>
                <w:rFonts w:ascii="Times New Roman" w:hAnsi="Times New Roman" w:eastAsiaTheme="minorEastAsia"/>
                <w:kern w:val="0"/>
                <w:sz w:val="24"/>
                <w:szCs w:val="24"/>
              </w:rPr>
              <w:t>Ares</w:t>
            </w:r>
            <w:r>
              <w:rPr>
                <w:rFonts w:hint="eastAsia" w:ascii="Times New Roman" w:hAnsi="Times New Roman" w:eastAsiaTheme="minorEastAsia"/>
                <w:kern w:val="0"/>
                <w:sz w:val="24"/>
                <w:szCs w:val="24"/>
              </w:rPr>
              <w:t>于</w:t>
            </w:r>
            <w:r>
              <w:rPr>
                <w:rFonts w:ascii="Times New Roman" w:hAnsi="Times New Roman" w:eastAsiaTheme="minorEastAsia"/>
                <w:kern w:val="0"/>
                <w:sz w:val="24"/>
                <w:szCs w:val="24"/>
              </w:rPr>
              <w:t>2013</w:t>
            </w:r>
            <w:r>
              <w:rPr>
                <w:rFonts w:hint="eastAsia" w:ascii="Times New Roman" w:hAnsi="Times New Roman" w:eastAsiaTheme="minorEastAsia"/>
                <w:kern w:val="0"/>
                <w:sz w:val="24"/>
                <w:szCs w:val="24"/>
              </w:rPr>
              <w:t>年</w:t>
            </w:r>
            <w:r>
              <w:rPr>
                <w:rFonts w:ascii="Times New Roman" w:hAnsi="Times New Roman" w:eastAsiaTheme="minorEastAsia"/>
                <w:kern w:val="0"/>
                <w:sz w:val="24"/>
                <w:szCs w:val="24"/>
              </w:rPr>
              <w:t>11</w:t>
            </w:r>
            <w:r>
              <w:rPr>
                <w:rFonts w:hint="eastAsia" w:ascii="Times New Roman" w:hAnsi="Times New Roman" w:eastAsiaTheme="minorEastAsia"/>
                <w:kern w:val="0"/>
                <w:sz w:val="24"/>
                <w:szCs w:val="24"/>
              </w:rPr>
              <w:t>月</w:t>
            </w:r>
            <w:r>
              <w:rPr>
                <w:rFonts w:ascii="Times New Roman" w:hAnsi="Times New Roman" w:eastAsiaTheme="minorEastAsia"/>
                <w:kern w:val="0"/>
                <w:sz w:val="24"/>
                <w:szCs w:val="24"/>
              </w:rPr>
              <w:t>15</w:t>
            </w:r>
            <w:r>
              <w:rPr>
                <w:rFonts w:hint="eastAsia" w:ascii="Times New Roman" w:hAnsi="Times New Roman" w:eastAsiaTheme="minorEastAsia"/>
                <w:kern w:val="0"/>
                <w:sz w:val="24"/>
                <w:szCs w:val="24"/>
              </w:rPr>
              <w:t>日成立于美国，为纽约证券交易所上市公司。</w:t>
            </w:r>
            <w:r>
              <w:rPr>
                <w:rFonts w:ascii="Times New Roman" w:hAnsi="Times New Roman" w:eastAsiaTheme="minorEastAsia"/>
                <w:kern w:val="0"/>
                <w:sz w:val="24"/>
                <w:szCs w:val="24"/>
              </w:rPr>
              <w:t>Ares</w:t>
            </w:r>
            <w:r>
              <w:rPr>
                <w:rFonts w:hint="eastAsia" w:ascii="Times New Roman" w:hAnsi="Times New Roman" w:eastAsiaTheme="minorEastAsia"/>
                <w:kern w:val="0"/>
                <w:sz w:val="24"/>
                <w:szCs w:val="24"/>
              </w:rPr>
              <w:t>是一家另类投资管理公司，为客户提供在信贷、私募股权、房地产和基础设施资产类别上互补的一级和二级投资解决方案。</w:t>
            </w:r>
          </w:p>
          <w:p>
            <w:pPr>
              <w:snapToGrid w:val="0"/>
              <w:rPr>
                <w:rFonts w:ascii="Times New Roman" w:hAnsi="Times New Roman" w:eastAsiaTheme="minorEastAsia"/>
                <w:kern w:val="0"/>
                <w:sz w:val="24"/>
                <w:szCs w:val="24"/>
              </w:rPr>
            </w:pPr>
            <w:r>
              <w:rPr>
                <w:rFonts w:ascii="Times New Roman" w:hAnsi="Times New Roman" w:eastAsiaTheme="minorEastAsia"/>
                <w:kern w:val="0"/>
                <w:sz w:val="24"/>
                <w:szCs w:val="24"/>
              </w:rPr>
              <w:t>Ares</w:t>
            </w:r>
            <w:r>
              <w:rPr>
                <w:rFonts w:hint="eastAsia" w:ascii="Times New Roman" w:hAnsi="Times New Roman" w:eastAsiaTheme="minorEastAsia"/>
                <w:kern w:val="0"/>
                <w:sz w:val="24"/>
                <w:szCs w:val="24"/>
              </w:rPr>
              <w:t>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0" w:type="dxa"/>
            <w:vMerge w:val="continue"/>
            <w:shd w:val="clear" w:color="auto" w:fill="D9D9D9"/>
          </w:tcPr>
          <w:p>
            <w:pPr>
              <w:snapToGrid w:val="0"/>
              <w:rPr>
                <w:rFonts w:cs="Times" w:asciiTheme="minorEastAsia" w:hAnsiTheme="minorEastAsia" w:eastAsiaTheme="minorEastAsia"/>
                <w:b/>
                <w:sz w:val="24"/>
                <w:szCs w:val="24"/>
              </w:rPr>
            </w:pPr>
          </w:p>
        </w:tc>
        <w:tc>
          <w:tcPr>
            <w:tcW w:w="1270" w:type="dxa"/>
          </w:tcPr>
          <w:p>
            <w:pPr>
              <w:snapToGrid w:val="0"/>
              <w:rPr>
                <w:rFonts w:ascii="Times New Roman" w:hAnsi="Times New Roman" w:eastAsiaTheme="minorEastAsia"/>
                <w:kern w:val="0"/>
                <w:sz w:val="24"/>
                <w:szCs w:val="24"/>
              </w:rPr>
            </w:pPr>
            <w:r>
              <w:rPr>
                <w:rFonts w:ascii="Times New Roman" w:hAnsi="Times New Roman" w:eastAsiaTheme="minorEastAsia"/>
                <w:kern w:val="0"/>
                <w:sz w:val="24"/>
                <w:szCs w:val="24"/>
              </w:rPr>
              <w:t>2、奥乃克斯</w:t>
            </w:r>
          </w:p>
        </w:tc>
        <w:tc>
          <w:tcPr>
            <w:tcW w:w="5300" w:type="dxa"/>
          </w:tcPr>
          <w:p>
            <w:pPr>
              <w:snapToGrid w:val="0"/>
              <w:rPr>
                <w:rFonts w:hint="eastAsia" w:ascii="Times New Roman" w:hAnsi="Times New Roman" w:eastAsiaTheme="minorEastAsia"/>
                <w:kern w:val="0"/>
                <w:sz w:val="24"/>
                <w:szCs w:val="24"/>
              </w:rPr>
            </w:pPr>
            <w:r>
              <w:rPr>
                <w:rFonts w:hint="eastAsia" w:ascii="Times New Roman" w:hAnsi="Times New Roman" w:eastAsiaTheme="minorEastAsia"/>
                <w:kern w:val="0"/>
                <w:sz w:val="24"/>
                <w:szCs w:val="24"/>
              </w:rPr>
              <w:t>奥乃克斯于</w:t>
            </w:r>
            <w:r>
              <w:rPr>
                <w:rFonts w:ascii="Times New Roman" w:hAnsi="Times New Roman" w:eastAsiaTheme="minorEastAsia"/>
                <w:kern w:val="0"/>
                <w:sz w:val="24"/>
                <w:szCs w:val="24"/>
              </w:rPr>
              <w:t>1980</w:t>
            </w:r>
            <w:r>
              <w:rPr>
                <w:rFonts w:hint="eastAsia" w:ascii="Times New Roman" w:hAnsi="Times New Roman" w:eastAsiaTheme="minorEastAsia"/>
                <w:kern w:val="0"/>
                <w:sz w:val="24"/>
                <w:szCs w:val="24"/>
              </w:rPr>
              <w:t>年</w:t>
            </w:r>
            <w:r>
              <w:rPr>
                <w:rFonts w:ascii="Times New Roman" w:hAnsi="Times New Roman" w:eastAsiaTheme="minorEastAsia"/>
                <w:kern w:val="0"/>
                <w:sz w:val="24"/>
                <w:szCs w:val="24"/>
              </w:rPr>
              <w:t>12</w:t>
            </w:r>
            <w:r>
              <w:rPr>
                <w:rFonts w:hint="eastAsia" w:ascii="Times New Roman" w:hAnsi="Times New Roman" w:eastAsiaTheme="minorEastAsia"/>
                <w:kern w:val="0"/>
                <w:sz w:val="24"/>
                <w:szCs w:val="24"/>
              </w:rPr>
              <w:t>月</w:t>
            </w:r>
            <w:r>
              <w:rPr>
                <w:rFonts w:ascii="Times New Roman" w:hAnsi="Times New Roman" w:eastAsiaTheme="minorEastAsia"/>
                <w:kern w:val="0"/>
                <w:sz w:val="24"/>
                <w:szCs w:val="24"/>
              </w:rPr>
              <w:t>30</w:t>
            </w:r>
            <w:r>
              <w:rPr>
                <w:rFonts w:hint="eastAsia" w:ascii="Times New Roman" w:hAnsi="Times New Roman" w:eastAsiaTheme="minorEastAsia"/>
                <w:kern w:val="0"/>
                <w:sz w:val="24"/>
                <w:szCs w:val="24"/>
              </w:rPr>
              <w:t>日成立于加拿大，为多伦多证券交易所上市公司。奥乃克斯对各类运营公司进行投资。由奥乃克斯关联企业管理的私募股权基金控制的公司在多个产业领域从事业务（例如工业、服务业、医疗保健、消费和零售以及金融服务）。此外，奥乃克斯还对私人信贷策略和房地产进行投资。</w:t>
            </w:r>
            <w:r>
              <w:rPr>
                <w:rFonts w:ascii="Times New Roman" w:hAnsi="Times New Roman" w:eastAsiaTheme="minorEastAsia"/>
                <w:kern w:val="0"/>
                <w:sz w:val="24"/>
                <w:szCs w:val="24"/>
              </w:rPr>
              <w:t xml:space="preserve"> </w:t>
            </w:r>
          </w:p>
          <w:p>
            <w:pPr>
              <w:snapToGrid w:val="0"/>
              <w:rPr>
                <w:rFonts w:ascii="Times New Roman" w:hAnsi="Times New Roman" w:eastAsiaTheme="minorEastAsia"/>
                <w:kern w:val="0"/>
                <w:sz w:val="24"/>
                <w:szCs w:val="24"/>
              </w:rPr>
            </w:pPr>
            <w:r>
              <w:rPr>
                <w:rFonts w:hint="eastAsia" w:ascii="Times New Roman" w:hAnsi="Times New Roman" w:eastAsiaTheme="minorEastAsia"/>
                <w:kern w:val="0"/>
                <w:sz w:val="24"/>
                <w:szCs w:val="24"/>
              </w:rPr>
              <w:t>奥乃克斯的最终控制人是自然人</w:t>
            </w:r>
            <w:r>
              <w:rPr>
                <w:rFonts w:ascii="Times New Roman" w:hAnsi="Times New Roman" w:eastAsiaTheme="minorEastAsia"/>
                <w:kern w:val="0"/>
                <w:sz w:val="24"/>
                <w:szCs w:val="24"/>
              </w:rPr>
              <w:t>Gerald W. Schwartz</w:t>
            </w:r>
            <w:r>
              <w:rPr>
                <w:rFonts w:hint="eastAsia" w:ascii="Times New Roman" w:hAnsi="Times New Roman" w:eastAsiaTheme="minorEastAsia"/>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0" w:type="dxa"/>
            <w:vMerge w:val="continue"/>
            <w:shd w:val="clear" w:color="auto" w:fill="D9D9D9"/>
          </w:tcPr>
          <w:p>
            <w:pPr>
              <w:snapToGrid w:val="0"/>
              <w:rPr>
                <w:rFonts w:cs="Times" w:asciiTheme="minorEastAsia" w:hAnsiTheme="minorEastAsia" w:eastAsiaTheme="minorEastAsia"/>
                <w:b/>
                <w:sz w:val="24"/>
                <w:szCs w:val="24"/>
              </w:rPr>
            </w:pPr>
          </w:p>
        </w:tc>
        <w:tc>
          <w:tcPr>
            <w:tcW w:w="1270" w:type="dxa"/>
          </w:tcPr>
          <w:p>
            <w:pPr>
              <w:snapToGrid w:val="0"/>
              <w:rPr>
                <w:rFonts w:ascii="Times New Roman" w:hAnsi="Times New Roman" w:eastAsiaTheme="minorEastAsia"/>
                <w:kern w:val="0"/>
                <w:sz w:val="24"/>
                <w:szCs w:val="24"/>
              </w:rPr>
            </w:pPr>
            <w:r>
              <w:rPr>
                <w:rFonts w:ascii="Times New Roman" w:hAnsi="Times New Roman" w:eastAsiaTheme="minorEastAsia"/>
                <w:kern w:val="0"/>
                <w:sz w:val="24"/>
                <w:szCs w:val="24"/>
              </w:rPr>
              <w:t>3、创始人</w:t>
            </w:r>
          </w:p>
        </w:tc>
        <w:tc>
          <w:tcPr>
            <w:tcW w:w="5300" w:type="dxa"/>
          </w:tcPr>
          <w:p>
            <w:pPr>
              <w:snapToGrid w:val="0"/>
              <w:rPr>
                <w:rFonts w:ascii="Times New Roman" w:hAnsi="Times New Roman" w:eastAsiaTheme="minorEastAsia"/>
                <w:kern w:val="0"/>
                <w:sz w:val="24"/>
                <w:szCs w:val="24"/>
              </w:rPr>
            </w:pPr>
            <w:r>
              <w:rPr>
                <w:rFonts w:hint="eastAsia" w:ascii="Times New Roman" w:hAnsi="Times New Roman" w:eastAsiaTheme="minorEastAsia"/>
                <w:kern w:val="0"/>
                <w:sz w:val="24"/>
                <w:szCs w:val="24"/>
              </w:rPr>
              <w:t>创始人是自然人</w:t>
            </w:r>
            <w:r>
              <w:rPr>
                <w:rFonts w:ascii="Times New Roman" w:hAnsi="Times New Roman" w:eastAsiaTheme="minorEastAsia"/>
                <w:kern w:val="0"/>
                <w:sz w:val="24"/>
                <w:szCs w:val="24"/>
              </w:rPr>
              <w:t>G. Brint Ryan</w:t>
            </w:r>
            <w:r>
              <w:rPr>
                <w:rFonts w:hint="eastAsia" w:ascii="Times New Roman" w:hAnsi="Times New Roman" w:eastAsiaTheme="minorEastAsia"/>
                <w:kern w:val="0"/>
                <w:sz w:val="24"/>
                <w:szCs w:val="24"/>
              </w:rPr>
              <w:t>，同时为目标公司的</w:t>
            </w:r>
            <w:r>
              <w:rPr>
                <w:rFonts w:ascii="Times New Roman" w:hAnsi="Times New Roman" w:eastAsiaTheme="minorEastAsia"/>
                <w:kern w:val="0"/>
                <w:sz w:val="24"/>
                <w:szCs w:val="24"/>
              </w:rPr>
              <w:t>董事长兼</w:t>
            </w:r>
            <w:bookmarkStart w:id="0" w:name="_Hlk105454346"/>
            <w:r>
              <w:rPr>
                <w:rFonts w:ascii="Times New Roman" w:hAnsi="Times New Roman" w:eastAsiaTheme="minorEastAsia"/>
                <w:kern w:val="0"/>
                <w:sz w:val="24"/>
                <w:szCs w:val="24"/>
              </w:rPr>
              <w:t>首席执行官</w:t>
            </w:r>
            <w:bookmarkEnd w:id="0"/>
            <w:r>
              <w:rPr>
                <w:rFonts w:hint="eastAsia" w:ascii="Times New Roman" w:hAnsi="Times New Roman" w:eastAsiaTheme="minorEastAsia"/>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0" w:type="dxa"/>
            <w:vMerge w:val="restart"/>
            <w:shd w:val="clear" w:color="auto" w:fill="D9D9D9"/>
          </w:tcPr>
          <w:p>
            <w:pPr>
              <w:snapToGrid w:val="0"/>
              <w:rPr>
                <w:rFonts w:cs="Times" w:asciiTheme="minorEastAsia" w:hAnsiTheme="minorEastAsia" w:eastAsiaTheme="minorEastAsia"/>
                <w:b/>
                <w:sz w:val="24"/>
                <w:szCs w:val="24"/>
              </w:rPr>
            </w:pPr>
            <w:bookmarkStart w:id="1" w:name="_GoBack"/>
            <w:bookmarkEnd w:id="1"/>
            <w:r>
              <w:rPr>
                <w:rFonts w:hint="eastAsia" w:cs="Times" w:asciiTheme="minorEastAsia" w:hAnsiTheme="minorEastAsia" w:eastAsiaTheme="minorEastAsia"/>
                <w:b/>
                <w:sz w:val="24"/>
                <w:szCs w:val="24"/>
              </w:rPr>
              <w:t>简易案件理由（可以单选，也可以多选）</w:t>
            </w:r>
          </w:p>
        </w:tc>
        <w:tc>
          <w:tcPr>
            <w:tcW w:w="6570" w:type="dxa"/>
            <w:gridSpan w:val="2"/>
          </w:tcPr>
          <w:p>
            <w:pPr>
              <w:snapToGrid w:val="0"/>
              <w:rPr>
                <w:rFonts w:cs="Arial" w:asciiTheme="minorEastAsia" w:hAnsiTheme="minorEastAsia" w:eastAsiaTheme="minorEastAsia"/>
                <w:kern w:val="0"/>
                <w:sz w:val="24"/>
                <w:szCs w:val="24"/>
              </w:rPr>
            </w:pPr>
            <w:r>
              <w:rPr>
                <w:rFonts w:hint="eastAsia" w:cs="Arial" w:asciiTheme="minorEastAsia" w:hAnsiTheme="minorEastAsia" w:eastAsiaTheme="minorEastAsia"/>
                <w:kern w:val="0"/>
                <w:sz w:val="24"/>
                <w:szCs w:val="24"/>
              </w:rPr>
              <w:t>□</w:t>
            </w:r>
            <w:r>
              <w:rPr>
                <w:rFonts w:cs="Arial" w:asciiTheme="minorEastAsia" w:hAnsiTheme="minorEastAsia" w:eastAsiaTheme="minorEastAsia"/>
                <w:kern w:val="0"/>
                <w:sz w:val="24"/>
                <w:szCs w:val="24"/>
              </w:rPr>
              <w:t>1</w:t>
            </w:r>
            <w:r>
              <w:rPr>
                <w:rFonts w:hint="eastAsia" w:cs="Arial" w:asciiTheme="minorEastAsia" w:hAnsiTheme="minorEastAsia" w:eastAsiaTheme="minorEastAsia"/>
                <w:kern w:val="0"/>
                <w:sz w:val="24"/>
                <w:szCs w:val="24"/>
              </w:rPr>
              <w:t>、在同一相关市场，所有参与集中的经营者所占市场份额之和小于</w:t>
            </w:r>
            <w:r>
              <w:rPr>
                <w:rFonts w:cs="Arial" w:asciiTheme="minorEastAsia" w:hAnsiTheme="minorEastAsia" w:eastAsiaTheme="minorEastAsia"/>
                <w:kern w:val="0"/>
                <w:sz w:val="24"/>
                <w:szCs w:val="24"/>
              </w:rPr>
              <w:t>15%</w:t>
            </w:r>
            <w:r>
              <w:rPr>
                <w:rFonts w:hint="eastAsia" w:cs="Arial" w:asciiTheme="minorEastAsia" w:hAnsiTheme="minorEastAsia" w:eastAsiaTheme="minorEastAsia"/>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0" w:type="dxa"/>
            <w:vMerge w:val="continue"/>
            <w:shd w:val="clear" w:color="auto" w:fill="D9D9D9"/>
          </w:tcPr>
          <w:p>
            <w:pPr>
              <w:snapToGrid w:val="0"/>
              <w:rPr>
                <w:rFonts w:cs="Times" w:asciiTheme="minorEastAsia" w:hAnsiTheme="minorEastAsia" w:eastAsiaTheme="minorEastAsia"/>
                <w:b/>
                <w:sz w:val="24"/>
                <w:szCs w:val="24"/>
              </w:rPr>
            </w:pPr>
          </w:p>
        </w:tc>
        <w:tc>
          <w:tcPr>
            <w:tcW w:w="6570" w:type="dxa"/>
            <w:gridSpan w:val="2"/>
          </w:tcPr>
          <w:p>
            <w:pPr>
              <w:snapToGrid w:val="0"/>
              <w:rPr>
                <w:rFonts w:cs="Arial" w:asciiTheme="minorEastAsia" w:hAnsiTheme="minorEastAsia" w:eastAsiaTheme="minorEastAsia"/>
                <w:kern w:val="0"/>
                <w:sz w:val="24"/>
                <w:szCs w:val="24"/>
              </w:rPr>
            </w:pPr>
            <w:r>
              <w:rPr>
                <w:rFonts w:hint="eastAsia" w:cs="Arial" w:asciiTheme="minorEastAsia" w:hAnsiTheme="minorEastAsia" w:eastAsiaTheme="minorEastAsia"/>
                <w:kern w:val="0"/>
                <w:sz w:val="24"/>
                <w:szCs w:val="24"/>
              </w:rPr>
              <w:t>□</w:t>
            </w:r>
            <w:r>
              <w:rPr>
                <w:rFonts w:cs="Arial" w:asciiTheme="minorEastAsia" w:hAnsiTheme="minorEastAsia" w:eastAsiaTheme="minorEastAsia"/>
                <w:kern w:val="0"/>
                <w:sz w:val="24"/>
                <w:szCs w:val="24"/>
              </w:rPr>
              <w:t>2</w:t>
            </w:r>
            <w:r>
              <w:rPr>
                <w:rFonts w:hint="eastAsia" w:cs="Arial" w:asciiTheme="minorEastAsia" w:hAnsiTheme="minorEastAsia" w:eastAsiaTheme="minorEastAsia"/>
                <w:kern w:val="0"/>
                <w:sz w:val="24"/>
                <w:szCs w:val="24"/>
              </w:rPr>
              <w:t>、存在上下游关系的参与集中的经营者，在上下游市场所占的市场份额均小于</w:t>
            </w:r>
            <w:r>
              <w:rPr>
                <w:rFonts w:cs="Arial" w:asciiTheme="minorEastAsia" w:hAnsiTheme="minorEastAsia" w:eastAsiaTheme="minorEastAsia"/>
                <w:kern w:val="0"/>
                <w:sz w:val="24"/>
                <w:szCs w:val="24"/>
              </w:rPr>
              <w:t>25%</w:t>
            </w:r>
            <w:r>
              <w:rPr>
                <w:rFonts w:hint="eastAsia" w:cs="Arial" w:asciiTheme="minorEastAsia" w:hAnsiTheme="minorEastAsia" w:eastAsiaTheme="minorEastAsia"/>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0" w:type="dxa"/>
            <w:vMerge w:val="continue"/>
            <w:shd w:val="clear" w:color="auto" w:fill="D9D9D9"/>
          </w:tcPr>
          <w:p>
            <w:pPr>
              <w:snapToGrid w:val="0"/>
              <w:rPr>
                <w:rFonts w:cs="Times" w:asciiTheme="minorEastAsia" w:hAnsiTheme="minorEastAsia" w:eastAsiaTheme="minorEastAsia"/>
                <w:b/>
                <w:sz w:val="24"/>
                <w:szCs w:val="24"/>
              </w:rPr>
            </w:pPr>
          </w:p>
        </w:tc>
        <w:tc>
          <w:tcPr>
            <w:tcW w:w="6570" w:type="dxa"/>
            <w:gridSpan w:val="2"/>
          </w:tcPr>
          <w:p>
            <w:pPr>
              <w:snapToGrid w:val="0"/>
              <w:rPr>
                <w:rFonts w:cs="Arial" w:asciiTheme="minorEastAsia" w:hAnsiTheme="minorEastAsia" w:eastAsiaTheme="minorEastAsia"/>
                <w:kern w:val="0"/>
                <w:sz w:val="24"/>
                <w:szCs w:val="24"/>
              </w:rPr>
            </w:pPr>
            <w:r>
              <w:rPr>
                <w:rFonts w:hint="eastAsia" w:cs="Arial" w:asciiTheme="minorEastAsia" w:hAnsiTheme="minorEastAsia" w:eastAsiaTheme="minorEastAsia"/>
                <w:kern w:val="0"/>
                <w:sz w:val="24"/>
                <w:szCs w:val="24"/>
              </w:rPr>
              <w:t>□</w:t>
            </w:r>
            <w:r>
              <w:rPr>
                <w:rFonts w:cs="Arial" w:asciiTheme="minorEastAsia" w:hAnsiTheme="minorEastAsia" w:eastAsiaTheme="minorEastAsia"/>
                <w:kern w:val="0"/>
                <w:sz w:val="24"/>
                <w:szCs w:val="24"/>
              </w:rPr>
              <w:t>3</w:t>
            </w:r>
            <w:r>
              <w:rPr>
                <w:rFonts w:hint="eastAsia" w:cs="Arial" w:asciiTheme="minorEastAsia" w:hAnsiTheme="minorEastAsia" w:eastAsiaTheme="minorEastAsia"/>
                <w:kern w:val="0"/>
                <w:sz w:val="24"/>
                <w:szCs w:val="24"/>
              </w:rPr>
              <w:t>、不在同一相关市场、也不存在上下游关系的参与集中的经营者，在与交易有关的每个市场所占的份额均小于</w:t>
            </w:r>
            <w:r>
              <w:rPr>
                <w:rFonts w:cs="Arial" w:asciiTheme="minorEastAsia" w:hAnsiTheme="minorEastAsia" w:eastAsiaTheme="minorEastAsia"/>
                <w:kern w:val="0"/>
                <w:sz w:val="24"/>
                <w:szCs w:val="24"/>
              </w:rPr>
              <w:t>25%</w:t>
            </w:r>
            <w:r>
              <w:rPr>
                <w:rFonts w:hint="eastAsia" w:cs="Arial" w:asciiTheme="minorEastAsia" w:hAnsiTheme="minorEastAsia" w:eastAsiaTheme="minorEastAsia"/>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800" w:type="dxa"/>
            <w:vMerge w:val="continue"/>
            <w:shd w:val="clear" w:color="auto" w:fill="D9D9D9"/>
          </w:tcPr>
          <w:p>
            <w:pPr>
              <w:snapToGrid w:val="0"/>
              <w:rPr>
                <w:rFonts w:cs="Times" w:asciiTheme="minorEastAsia" w:hAnsiTheme="minorEastAsia" w:eastAsiaTheme="minorEastAsia"/>
                <w:b/>
                <w:sz w:val="24"/>
                <w:szCs w:val="24"/>
              </w:rPr>
            </w:pPr>
          </w:p>
        </w:tc>
        <w:tc>
          <w:tcPr>
            <w:tcW w:w="6570" w:type="dxa"/>
            <w:gridSpan w:val="2"/>
          </w:tcPr>
          <w:p>
            <w:pPr>
              <w:snapToGrid w:val="0"/>
              <w:rPr>
                <w:rFonts w:cs="Arial" w:asciiTheme="minorEastAsia" w:hAnsiTheme="minorEastAsia" w:eastAsiaTheme="minorEastAsia"/>
                <w:kern w:val="0"/>
                <w:sz w:val="24"/>
                <w:szCs w:val="24"/>
              </w:rPr>
            </w:pPr>
            <w:r>
              <w:rPr>
                <w:rFonts w:hint="eastAsia" w:cs="Arial" w:asciiTheme="minorEastAsia" w:hAnsiTheme="minorEastAsia" w:eastAsiaTheme="minorEastAsia"/>
                <w:kern w:val="0"/>
                <w:sz w:val="24"/>
                <w:szCs w:val="24"/>
              </w:rPr>
              <w:t>□</w:t>
            </w:r>
            <w:r>
              <w:rPr>
                <w:rFonts w:cs="Arial" w:asciiTheme="minorEastAsia" w:hAnsiTheme="minorEastAsia" w:eastAsiaTheme="minorEastAsia"/>
                <w:kern w:val="0"/>
                <w:sz w:val="24"/>
                <w:szCs w:val="24"/>
              </w:rPr>
              <w:t>4</w:t>
            </w:r>
            <w:r>
              <w:rPr>
                <w:rFonts w:hint="eastAsia" w:cs="Arial" w:asciiTheme="minorEastAsia" w:hAnsiTheme="minorEastAsia" w:eastAsiaTheme="minorEastAsia"/>
                <w:kern w:val="0"/>
                <w:sz w:val="24"/>
                <w:szCs w:val="24"/>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0" w:type="dxa"/>
            <w:vMerge w:val="continue"/>
            <w:shd w:val="clear" w:color="auto" w:fill="D9D9D9"/>
          </w:tcPr>
          <w:p>
            <w:pPr>
              <w:snapToGrid w:val="0"/>
              <w:rPr>
                <w:rFonts w:cs="Times" w:asciiTheme="minorEastAsia" w:hAnsiTheme="minorEastAsia" w:eastAsiaTheme="minorEastAsia"/>
                <w:b/>
                <w:sz w:val="24"/>
                <w:szCs w:val="24"/>
              </w:rPr>
            </w:pPr>
          </w:p>
        </w:tc>
        <w:tc>
          <w:tcPr>
            <w:tcW w:w="6570" w:type="dxa"/>
            <w:gridSpan w:val="2"/>
          </w:tcPr>
          <w:p>
            <w:pPr>
              <w:snapToGrid w:val="0"/>
              <w:rPr>
                <w:rFonts w:cs="Arial" w:asciiTheme="minorEastAsia" w:hAnsiTheme="minorEastAsia" w:eastAsiaTheme="minorEastAsia"/>
                <w:kern w:val="0"/>
                <w:sz w:val="24"/>
                <w:szCs w:val="24"/>
              </w:rPr>
            </w:pPr>
            <w:r>
              <w:rPr>
                <w:rFonts w:cs="Arial" w:asciiTheme="minorEastAsia" w:hAnsiTheme="minorEastAsia" w:eastAsiaTheme="minorEastAsia"/>
                <w:kern w:val="0"/>
                <w:sz w:val="24"/>
                <w:szCs w:val="24"/>
              </w:rPr>
              <w:sym w:font="Wingdings" w:char="F0FE"/>
            </w:r>
            <w:r>
              <w:rPr>
                <w:rFonts w:cs="Arial" w:asciiTheme="minorEastAsia" w:hAnsiTheme="minorEastAsia" w:eastAsiaTheme="minorEastAsia"/>
                <w:kern w:val="0"/>
                <w:sz w:val="24"/>
                <w:szCs w:val="24"/>
              </w:rPr>
              <w:t>5</w:t>
            </w:r>
            <w:r>
              <w:rPr>
                <w:rFonts w:hint="eastAsia" w:cs="Arial" w:asciiTheme="minorEastAsia" w:hAnsiTheme="minorEastAsia" w:eastAsiaTheme="minorEastAsia"/>
                <w:kern w:val="0"/>
                <w:sz w:val="24"/>
                <w:szCs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0" w:type="dxa"/>
            <w:vMerge w:val="continue"/>
            <w:shd w:val="clear" w:color="auto" w:fill="D9D9D9"/>
          </w:tcPr>
          <w:p>
            <w:pPr>
              <w:snapToGrid w:val="0"/>
              <w:rPr>
                <w:rFonts w:cs="Times" w:asciiTheme="minorEastAsia" w:hAnsiTheme="minorEastAsia" w:eastAsiaTheme="minorEastAsia"/>
                <w:b/>
                <w:sz w:val="24"/>
                <w:szCs w:val="24"/>
              </w:rPr>
            </w:pPr>
          </w:p>
        </w:tc>
        <w:tc>
          <w:tcPr>
            <w:tcW w:w="6570" w:type="dxa"/>
            <w:gridSpan w:val="2"/>
          </w:tcPr>
          <w:p>
            <w:pPr>
              <w:snapToGrid w:val="0"/>
              <w:rPr>
                <w:rFonts w:cs="Arial" w:asciiTheme="minorEastAsia" w:hAnsiTheme="minorEastAsia" w:eastAsiaTheme="minorEastAsia"/>
                <w:kern w:val="0"/>
                <w:sz w:val="24"/>
                <w:szCs w:val="24"/>
              </w:rPr>
            </w:pPr>
            <w:r>
              <w:rPr>
                <w:rFonts w:hint="eastAsia" w:cs="Arial" w:asciiTheme="minorEastAsia" w:hAnsiTheme="minorEastAsia" w:eastAsiaTheme="minorEastAsia"/>
                <w:kern w:val="0"/>
                <w:sz w:val="24"/>
                <w:szCs w:val="24"/>
              </w:rPr>
              <w:t>□</w:t>
            </w:r>
            <w:r>
              <w:rPr>
                <w:rFonts w:cs="Arial" w:asciiTheme="minorEastAsia" w:hAnsiTheme="minorEastAsia" w:eastAsiaTheme="minorEastAsia"/>
                <w:kern w:val="0"/>
                <w:sz w:val="24"/>
                <w:szCs w:val="24"/>
              </w:rPr>
              <w:t>6</w:t>
            </w:r>
            <w:r>
              <w:rPr>
                <w:rFonts w:hint="eastAsia" w:cs="Arial" w:asciiTheme="minorEastAsia" w:hAnsiTheme="minorEastAsia" w:eastAsiaTheme="minorEastAsia"/>
                <w:kern w:val="0"/>
                <w:sz w:val="24"/>
                <w:szCs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9D9D9"/>
          </w:tcPr>
          <w:p>
            <w:pPr>
              <w:snapToGrid w:val="0"/>
              <w:rPr>
                <w:rFonts w:cs="Times" w:asciiTheme="minorEastAsia" w:hAnsiTheme="minorEastAsia" w:eastAsiaTheme="minorEastAsia"/>
                <w:b/>
                <w:sz w:val="24"/>
                <w:szCs w:val="24"/>
              </w:rPr>
            </w:pPr>
            <w:r>
              <w:rPr>
                <w:rFonts w:hint="eastAsia" w:cs="Times" w:asciiTheme="minorEastAsia" w:hAnsiTheme="minorEastAsia" w:eastAsiaTheme="minorEastAsia"/>
                <w:b/>
                <w:sz w:val="24"/>
                <w:szCs w:val="24"/>
              </w:rPr>
              <w:t>备注</w:t>
            </w:r>
          </w:p>
        </w:tc>
        <w:tc>
          <w:tcPr>
            <w:tcW w:w="6570" w:type="dxa"/>
            <w:gridSpan w:val="2"/>
          </w:tcPr>
          <w:p>
            <w:pPr>
              <w:snapToGrid w:val="0"/>
              <w:rPr>
                <w:rFonts w:cs="Times" w:asciiTheme="minorEastAsia" w:hAnsiTheme="minorEastAsia" w:eastAsiaTheme="minorEastAsia"/>
                <w:sz w:val="24"/>
                <w:szCs w:val="24"/>
              </w:rPr>
            </w:pPr>
            <w:r>
              <w:rPr>
                <w:rFonts w:hint="eastAsia" w:cs="Times" w:asciiTheme="minorEastAsia" w:hAnsiTheme="minorEastAsia" w:eastAsiaTheme="minorEastAsia"/>
                <w:sz w:val="24"/>
                <w:szCs w:val="24"/>
              </w:rPr>
              <w:t>不适用</w:t>
            </w:r>
          </w:p>
        </w:tc>
      </w:tr>
    </w:tbl>
    <w:p>
      <w:pPr>
        <w:snapToGrid w:val="0"/>
        <w:spacing w:line="340" w:lineRule="exact"/>
        <w:jc w:val="left"/>
        <w:rPr>
          <w:rFonts w:asciiTheme="majorEastAsia" w:hAnsiTheme="majorEastAsia" w:eastAsiaTheme="maj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removePersonalInformation/>
  <w:bordersDoNotSurroundHeader w:val="1"/>
  <w:bordersDoNotSurroundFooter w:val="1"/>
  <w:doNotTrackMoves/>
  <w:doNotTrackFormatting/>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1B0F"/>
    <w:rsid w:val="00005B3E"/>
    <w:rsid w:val="000112BA"/>
    <w:rsid w:val="00017396"/>
    <w:rsid w:val="00026B58"/>
    <w:rsid w:val="00035CD7"/>
    <w:rsid w:val="00094095"/>
    <w:rsid w:val="000C73A0"/>
    <w:rsid w:val="00103CE7"/>
    <w:rsid w:val="00132ABE"/>
    <w:rsid w:val="0013394D"/>
    <w:rsid w:val="00133B1D"/>
    <w:rsid w:val="001502AD"/>
    <w:rsid w:val="001A1377"/>
    <w:rsid w:val="001C58D5"/>
    <w:rsid w:val="00211879"/>
    <w:rsid w:val="00213B25"/>
    <w:rsid w:val="00217AD7"/>
    <w:rsid w:val="00231C69"/>
    <w:rsid w:val="00233C9D"/>
    <w:rsid w:val="00245776"/>
    <w:rsid w:val="00266358"/>
    <w:rsid w:val="00266FF6"/>
    <w:rsid w:val="0029549A"/>
    <w:rsid w:val="002A3524"/>
    <w:rsid w:val="002E765D"/>
    <w:rsid w:val="002F1036"/>
    <w:rsid w:val="002F2D60"/>
    <w:rsid w:val="00306A69"/>
    <w:rsid w:val="00307976"/>
    <w:rsid w:val="0031341F"/>
    <w:rsid w:val="00321B51"/>
    <w:rsid w:val="003276D7"/>
    <w:rsid w:val="00344242"/>
    <w:rsid w:val="0035222B"/>
    <w:rsid w:val="003537D6"/>
    <w:rsid w:val="00395ECC"/>
    <w:rsid w:val="00395F07"/>
    <w:rsid w:val="003C11EC"/>
    <w:rsid w:val="003D109B"/>
    <w:rsid w:val="003D7A2B"/>
    <w:rsid w:val="004541A5"/>
    <w:rsid w:val="00457D31"/>
    <w:rsid w:val="00462174"/>
    <w:rsid w:val="00462957"/>
    <w:rsid w:val="00470198"/>
    <w:rsid w:val="00474108"/>
    <w:rsid w:val="00486B9A"/>
    <w:rsid w:val="004901B3"/>
    <w:rsid w:val="00494C5A"/>
    <w:rsid w:val="004B0D23"/>
    <w:rsid w:val="004B3DA4"/>
    <w:rsid w:val="004B61EA"/>
    <w:rsid w:val="004C6BDB"/>
    <w:rsid w:val="00512C86"/>
    <w:rsid w:val="00530966"/>
    <w:rsid w:val="005525CD"/>
    <w:rsid w:val="00556CB5"/>
    <w:rsid w:val="00571C41"/>
    <w:rsid w:val="005821FA"/>
    <w:rsid w:val="005A5EE0"/>
    <w:rsid w:val="005A68ED"/>
    <w:rsid w:val="005A7399"/>
    <w:rsid w:val="005C2F95"/>
    <w:rsid w:val="005C4AA9"/>
    <w:rsid w:val="005D796C"/>
    <w:rsid w:val="005F167B"/>
    <w:rsid w:val="005F359E"/>
    <w:rsid w:val="0060481D"/>
    <w:rsid w:val="006049BC"/>
    <w:rsid w:val="006226F0"/>
    <w:rsid w:val="00625C74"/>
    <w:rsid w:val="00631A81"/>
    <w:rsid w:val="006A15BB"/>
    <w:rsid w:val="007603AA"/>
    <w:rsid w:val="007768F9"/>
    <w:rsid w:val="00796EEF"/>
    <w:rsid w:val="00865891"/>
    <w:rsid w:val="00872274"/>
    <w:rsid w:val="00875468"/>
    <w:rsid w:val="009067B7"/>
    <w:rsid w:val="0094093C"/>
    <w:rsid w:val="009424FE"/>
    <w:rsid w:val="00967499"/>
    <w:rsid w:val="0099115B"/>
    <w:rsid w:val="009D2341"/>
    <w:rsid w:val="009F1659"/>
    <w:rsid w:val="00A22511"/>
    <w:rsid w:val="00A700D8"/>
    <w:rsid w:val="00AB6C08"/>
    <w:rsid w:val="00AD1D93"/>
    <w:rsid w:val="00AE2C40"/>
    <w:rsid w:val="00B02AC9"/>
    <w:rsid w:val="00B037A4"/>
    <w:rsid w:val="00B14C41"/>
    <w:rsid w:val="00B2157B"/>
    <w:rsid w:val="00B240B1"/>
    <w:rsid w:val="00B56BE2"/>
    <w:rsid w:val="00B955F5"/>
    <w:rsid w:val="00BA0750"/>
    <w:rsid w:val="00BB2377"/>
    <w:rsid w:val="00BF1F96"/>
    <w:rsid w:val="00C00E46"/>
    <w:rsid w:val="00C72EE9"/>
    <w:rsid w:val="00C9068E"/>
    <w:rsid w:val="00C90E71"/>
    <w:rsid w:val="00CC7A9D"/>
    <w:rsid w:val="00CE791B"/>
    <w:rsid w:val="00D21777"/>
    <w:rsid w:val="00D3163B"/>
    <w:rsid w:val="00D61420"/>
    <w:rsid w:val="00D8293A"/>
    <w:rsid w:val="00D82D50"/>
    <w:rsid w:val="00DA5A54"/>
    <w:rsid w:val="00DD5E88"/>
    <w:rsid w:val="00E11775"/>
    <w:rsid w:val="00E24A77"/>
    <w:rsid w:val="00E338EA"/>
    <w:rsid w:val="00E4567B"/>
    <w:rsid w:val="00E4772B"/>
    <w:rsid w:val="00E677B7"/>
    <w:rsid w:val="00ED21B1"/>
    <w:rsid w:val="00F03D95"/>
    <w:rsid w:val="00F36344"/>
    <w:rsid w:val="00F40281"/>
    <w:rsid w:val="00F45DD1"/>
    <w:rsid w:val="00F87C1F"/>
    <w:rsid w:val="00F944F8"/>
    <w:rsid w:val="00FB4C6B"/>
    <w:rsid w:val="00FC79ED"/>
    <w:rsid w:val="00FF684A"/>
    <w:rsid w:val="05415F4A"/>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9"/>
    <w:semiHidden/>
    <w:unhideWhenUsed/>
    <w:uiPriority w:val="99"/>
    <w:rPr>
      <w:sz w:val="20"/>
      <w:szCs w:val="20"/>
    </w:rPr>
  </w:style>
  <w:style w:type="paragraph" w:styleId="3">
    <w:name w:val="endnote text"/>
    <w:basedOn w:val="1"/>
    <w:link w:val="14"/>
    <w:semiHidden/>
    <w:unhideWhenUsed/>
    <w:uiPriority w:val="99"/>
    <w:pPr>
      <w:snapToGrid w:val="0"/>
      <w:jc w:val="left"/>
    </w:pPr>
  </w:style>
  <w:style w:type="paragraph" w:styleId="4">
    <w:name w:val="Balloon Text"/>
    <w:basedOn w:val="1"/>
    <w:link w:val="17"/>
    <w:semiHidden/>
    <w:unhideWhenUsed/>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20"/>
    <w:semiHidden/>
    <w:unhideWhenUsed/>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ndnote reference"/>
    <w:semiHidden/>
    <w:unhideWhenUsed/>
    <w:uiPriority w:val="99"/>
    <w:rPr>
      <w:vertAlign w:val="superscript"/>
    </w:rPr>
  </w:style>
  <w:style w:type="character" w:styleId="12">
    <w:name w:val="Hyperlink"/>
    <w:basedOn w:val="10"/>
    <w:unhideWhenUsed/>
    <w:qFormat/>
    <w:uiPriority w:val="99"/>
    <w:rPr>
      <w:color w:val="0000FF" w:themeColor="hyperlink"/>
      <w:u w:val="single"/>
      <w14:textFill>
        <w14:solidFill>
          <w14:schemeClr w14:val="hlink"/>
        </w14:solidFill>
      </w14:textFill>
    </w:rPr>
  </w:style>
  <w:style w:type="character" w:styleId="13">
    <w:name w:val="annotation reference"/>
    <w:basedOn w:val="10"/>
    <w:semiHidden/>
    <w:unhideWhenUsed/>
    <w:uiPriority w:val="99"/>
    <w:rPr>
      <w:sz w:val="16"/>
      <w:szCs w:val="16"/>
    </w:rPr>
  </w:style>
  <w:style w:type="character" w:customStyle="1" w:styleId="14">
    <w:name w:val="尾注文本 字符"/>
    <w:basedOn w:val="10"/>
    <w:link w:val="3"/>
    <w:semiHidden/>
    <w:uiPriority w:val="99"/>
  </w:style>
  <w:style w:type="character" w:customStyle="1" w:styleId="15">
    <w:name w:val="页眉 字符"/>
    <w:link w:val="6"/>
    <w:qFormat/>
    <w:uiPriority w:val="99"/>
    <w:rPr>
      <w:sz w:val="18"/>
      <w:szCs w:val="18"/>
    </w:rPr>
  </w:style>
  <w:style w:type="character" w:customStyle="1" w:styleId="16">
    <w:name w:val="页脚 字符"/>
    <w:link w:val="5"/>
    <w:qFormat/>
    <w:uiPriority w:val="99"/>
    <w:rPr>
      <w:sz w:val="18"/>
      <w:szCs w:val="18"/>
    </w:rPr>
  </w:style>
  <w:style w:type="character" w:customStyle="1" w:styleId="17">
    <w:name w:val="批注框文本 字符"/>
    <w:basedOn w:val="10"/>
    <w:link w:val="4"/>
    <w:semiHidden/>
    <w:qFormat/>
    <w:uiPriority w:val="99"/>
    <w:rPr>
      <w:kern w:val="2"/>
      <w:sz w:val="18"/>
      <w:szCs w:val="18"/>
      <w:lang w:val="en-US" w:bidi="ar-SA"/>
    </w:rPr>
  </w:style>
  <w:style w:type="character" w:customStyle="1" w:styleId="18">
    <w:name w:val="Unresolved Mention"/>
    <w:basedOn w:val="10"/>
    <w:semiHidden/>
    <w:unhideWhenUsed/>
    <w:uiPriority w:val="99"/>
    <w:rPr>
      <w:color w:val="605E5C"/>
      <w:shd w:val="clear" w:color="auto" w:fill="E1DFDD"/>
    </w:rPr>
  </w:style>
  <w:style w:type="character" w:customStyle="1" w:styleId="19">
    <w:name w:val="批注文字 字符"/>
    <w:basedOn w:val="10"/>
    <w:link w:val="2"/>
    <w:semiHidden/>
    <w:uiPriority w:val="99"/>
    <w:rPr>
      <w:kern w:val="2"/>
      <w:lang w:val="en-US" w:bidi="ar-SA"/>
    </w:rPr>
  </w:style>
  <w:style w:type="character" w:customStyle="1" w:styleId="20">
    <w:name w:val="批注主题 字符"/>
    <w:basedOn w:val="19"/>
    <w:link w:val="7"/>
    <w:semiHidden/>
    <w:uiPriority w:val="99"/>
    <w:rPr>
      <w:b/>
      <w:bCs/>
      <w:kern w:val="2"/>
      <w:lang w:val="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645F71-A4F7-497A-92E2-27E508B0F58E}">
  <ds:schemaRefs/>
</ds:datastoreItem>
</file>

<file path=customXml/itemProps3.xml><?xml version="1.0" encoding="utf-8"?>
<ds:datastoreItem xmlns:ds="http://schemas.openxmlformats.org/officeDocument/2006/customXml" ds:itemID="{76BB397F-2AA3-4D30-AA26-961C17A74530}">
  <ds:schemaRefs/>
</ds:datastoreItem>
</file>

<file path=docProps/app.xml><?xml version="1.0" encoding="utf-8"?>
<Properties xmlns="http://schemas.openxmlformats.org/officeDocument/2006/extended-properties" xmlns:vt="http://schemas.openxmlformats.org/officeDocument/2006/docPropsVTypes">
  <Template>Normal</Template>
  <Pages>2</Pages>
  <Words>173</Words>
  <Characters>992</Characters>
  <Lines>8</Lines>
  <Paragraphs>2</Paragraphs>
  <TotalTime>0</TotalTime>
  <ScaleCrop>false</ScaleCrop>
  <LinksUpToDate>false</LinksUpToDate>
  <CharactersWithSpaces>1163</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2022-06-03T09:27:00Z</dcterms:created>
  <dcterms:modified xsi:type="dcterms:W3CDTF">2022-06-09T01:38:59Z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etDate">
    <vt:lpwstr>2022-03-11T08:05:12Z</vt:lpwstr>
  </property>
  <property fmtid="{D5CDD505-2E9C-101B-9397-08002B2CF9AE}" pid="4" name="MSIP_Label_42e67a54-274b-43d7-8098-b3ba5f50e576_Method">
    <vt:lpwstr>Standard</vt:lpwstr>
  </property>
  <property fmtid="{D5CDD505-2E9C-101B-9397-08002B2CF9AE}" pid="5" name="MSIP_Label_42e67a54-274b-43d7-8098-b3ba5f50e576_Name">
    <vt:lpwstr>42e67a54-274b-43d7-8098-b3ba5f50e576</vt:lpwstr>
  </property>
  <property fmtid="{D5CDD505-2E9C-101B-9397-08002B2CF9AE}" pid="6" name="MSIP_Label_42e67a54-274b-43d7-8098-b3ba5f50e576_SiteId">
    <vt:lpwstr>7f0b44d2-04f8-4672-bf5d-4676796468a3</vt:lpwstr>
  </property>
  <property fmtid="{D5CDD505-2E9C-101B-9397-08002B2CF9AE}" pid="7" name="MSIP_Label_42e67a54-274b-43d7-8098-b3ba5f50e576_ActionId">
    <vt:lpwstr>816a926a-389b-4f19-9a56-77d2cef35f5b</vt:lpwstr>
  </property>
  <property fmtid="{D5CDD505-2E9C-101B-9397-08002B2CF9AE}" pid="8" name="MSIP_Label_42e67a54-274b-43d7-8098-b3ba5f50e576_ContentBits">
    <vt:lpwstr>0</vt:lpwstr>
  </property>
  <property fmtid="{D5CDD505-2E9C-101B-9397-08002B2CF9AE}" pid="9" name="Client">
    <vt:lpwstr>0112063</vt:lpwstr>
  </property>
  <property fmtid="{D5CDD505-2E9C-101B-9397-08002B2CF9AE}" pid="10" name="Matter">
    <vt:lpwstr>0000018</vt:lpwstr>
  </property>
  <property fmtid="{D5CDD505-2E9C-101B-9397-08002B2CF9AE}" pid="11" name="cpDocRef">
    <vt:lpwstr>SNO1: 2003460177.1</vt:lpwstr>
  </property>
  <property fmtid="{D5CDD505-2E9C-101B-9397-08002B2CF9AE}" pid="12" name="cpClientMatter">
    <vt:lpwstr>0112063-0000018</vt:lpwstr>
  </property>
  <property fmtid="{D5CDD505-2E9C-101B-9397-08002B2CF9AE}" pid="13" name="cpCombinedRef">
    <vt:lpwstr>0112063-0000018 SNO1: 2003460177.1</vt:lpwstr>
  </property>
  <property fmtid="{D5CDD505-2E9C-101B-9397-08002B2CF9AE}" pid="14" name="Client Code">
    <vt:lpwstr>10723820</vt:lpwstr>
  </property>
  <property fmtid="{D5CDD505-2E9C-101B-9397-08002B2CF9AE}" pid="15" name="DEDocumentLocation">
    <vt:lpwstr>C:\Users\rlu\AppData\Local\Linklaters\DocExplorer\Attachments\220607_Project Champ_Public Announcement Form (CHN).docx</vt:lpwstr>
  </property>
  <property fmtid="{D5CDD505-2E9C-101B-9397-08002B2CF9AE}" pid="16" name="Document Number">
    <vt:lpwstr>A48164454</vt:lpwstr>
  </property>
  <property fmtid="{D5CDD505-2E9C-101B-9397-08002B2CF9AE}" pid="17" name="Last Modified">
    <vt:lpwstr>07 Jun 2022</vt:lpwstr>
  </property>
  <property fmtid="{D5CDD505-2E9C-101B-9397-08002B2CF9AE}" pid="18" name="Matter Number">
    <vt:lpwstr>L-326298</vt:lpwstr>
  </property>
  <property fmtid="{D5CDD505-2E9C-101B-9397-08002B2CF9AE}" pid="19" name="Mode">
    <vt:lpwstr>SendAs</vt:lpwstr>
  </property>
  <property fmtid="{D5CDD505-2E9C-101B-9397-08002B2CF9AE}" pid="20" name="Version">
    <vt:lpwstr>1.0</vt:lpwstr>
  </property>
  <property fmtid="{D5CDD505-2E9C-101B-9397-08002B2CF9AE}" pid="21" name="ObjectID">
    <vt:lpwstr>09001dc897611bfa</vt:lpwstr>
  </property>
  <property fmtid="{D5CDD505-2E9C-101B-9397-08002B2CF9AE}" pid="22" name="_MarkAsFinal">
    <vt:bool>false</vt:bool>
  </property>
  <property fmtid="{D5CDD505-2E9C-101B-9397-08002B2CF9AE}" pid="23" name="KSOProductBuildVer">
    <vt:lpwstr>2052-11.8.2.10393</vt:lpwstr>
  </property>
</Properties>
</file>