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bookmarkStart w:id="0" w:name="_GoBack"/>
      <w:bookmarkEnd w:id="0"/>
      <w:r>
        <w:rPr>
          <w:rFonts w:hint="eastAsia" w:ascii="黑体" w:hAnsi="黑体" w:eastAsia="黑体" w:cs="黑体"/>
          <w:bCs/>
          <w:sz w:val="36"/>
          <w:szCs w:val="36"/>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2"/>
              <w:adjustRightInd w:val="0"/>
              <w:snapToGrid w:val="0"/>
              <w:spacing w:after="0"/>
              <w:rPr>
                <w:rFonts w:ascii="宋体" w:hAnsi="宋体" w:cs="宋体"/>
                <w:bCs/>
                <w:color w:val="000000"/>
                <w:lang w:val="en-US"/>
              </w:rPr>
            </w:pPr>
            <w:r>
              <w:rPr>
                <w:rFonts w:hint="eastAsia" w:ascii="宋体" w:hAnsi="宋体" w:cs="宋体"/>
                <w:bCs/>
                <w:color w:val="000000"/>
              </w:rPr>
              <w:t>案件名称</w:t>
            </w:r>
          </w:p>
        </w:tc>
        <w:tc>
          <w:tcPr>
            <w:tcW w:w="7700" w:type="dxa"/>
            <w:gridSpan w:val="2"/>
            <w:vAlign w:val="center"/>
          </w:tcPr>
          <w:p>
            <w:pPr>
              <w:adjustRightInd w:val="0"/>
              <w:snapToGrid w:val="0"/>
              <w:spacing w:after="0"/>
              <w:rPr>
                <w:rFonts w:ascii="宋体" w:hAnsi="宋体" w:cs="宋体"/>
                <w:bCs/>
                <w:color w:val="000000"/>
                <w:lang w:val="en-US"/>
              </w:rPr>
            </w:pPr>
            <w:r>
              <w:rPr>
                <w:rFonts w:hint="eastAsia"/>
              </w:rPr>
              <w:t>天津港航工程有限公司与天津港电力有限公司收购天津远海金风智港新能源有限公司股权案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vAlign w:val="center"/>
          </w:tcPr>
          <w:p>
            <w:pPr>
              <w:widowControl w:val="0"/>
              <w:adjustRightInd w:val="0"/>
              <w:snapToGrid w:val="0"/>
              <w:spacing w:after="0"/>
            </w:pPr>
            <w:r>
              <w:rPr>
                <w:rFonts w:hint="eastAsia"/>
              </w:rPr>
              <w:t>天津港航工程有限公司（“港航公司”）、天津港电力有限公司（“</w:t>
            </w:r>
            <w:r>
              <w:rPr>
                <w:rFonts w:hint="eastAsia"/>
                <w:b/>
                <w:bCs/>
              </w:rPr>
              <w:t>电力公司</w:t>
            </w:r>
            <w:r>
              <w:rPr>
                <w:rFonts w:hint="eastAsia"/>
              </w:rPr>
              <w:t>”）与天津远海金风新能源有限公司（“</w:t>
            </w:r>
            <w:r>
              <w:rPr>
                <w:rFonts w:hint="eastAsia"/>
                <w:b/>
                <w:bCs/>
              </w:rPr>
              <w:t>远海金风</w:t>
            </w:r>
            <w:r>
              <w:rPr>
                <w:rFonts w:hint="eastAsia"/>
              </w:rPr>
              <w:t>”）签署协议，约定港航公司与电力公司分别收购天津远海金风智港新能源有限公司（“标的公司”）25%、24%的股权并进行增资。标的公司拟从事位于天津滨海新区天津港北港欧亚国际集装箱码头北侧的陆上风力发电项目。</w:t>
            </w:r>
          </w:p>
          <w:p>
            <w:pPr>
              <w:widowControl w:val="0"/>
              <w:adjustRightInd w:val="0"/>
              <w:snapToGrid w:val="0"/>
              <w:spacing w:after="0"/>
              <w:rPr>
                <w:rFonts w:ascii="宋体" w:hAnsi="宋体" w:cs="宋体"/>
                <w:bCs/>
                <w:color w:val="000000"/>
              </w:rPr>
            </w:pPr>
          </w:p>
          <w:p>
            <w:pPr>
              <w:widowControl w:val="0"/>
              <w:adjustRightInd w:val="0"/>
              <w:snapToGrid w:val="0"/>
              <w:spacing w:after="0"/>
              <w:rPr>
                <w:rFonts w:ascii="宋体" w:hAnsi="宋体" w:cs="宋体"/>
                <w:bCs/>
                <w:color w:val="000000"/>
              </w:rPr>
            </w:pPr>
            <w:r>
              <w:rPr>
                <w:rFonts w:hint="eastAsia" w:ascii="宋体" w:hAnsi="宋体" w:cs="宋体"/>
                <w:bCs/>
                <w:color w:val="000000"/>
              </w:rPr>
              <w:t>交易前，远海金风持有标的公司100%的股权，单独控制标的公司；交易后，远海金风、港航公司及电力公司将分别持有标的公司51%、25%及24%的股权，三方共同控制标的公司。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参与集中的经营者简介</w:t>
            </w:r>
          </w:p>
        </w:tc>
        <w:tc>
          <w:tcPr>
            <w:tcW w:w="1607" w:type="dxa"/>
            <w:vAlign w:val="center"/>
          </w:tcPr>
          <w:p>
            <w:pPr>
              <w:pStyle w:val="2"/>
              <w:adjustRightInd w:val="0"/>
              <w:snapToGrid w:val="0"/>
              <w:spacing w:after="0"/>
              <w:rPr>
                <w:rFonts w:ascii="宋体" w:hAnsi="宋体" w:cs="宋体"/>
                <w:bCs/>
                <w:color w:val="000000"/>
                <w:lang w:eastAsia="zh-CN"/>
              </w:rPr>
            </w:pPr>
            <w:r>
              <w:rPr>
                <w:rFonts w:hint="eastAsia" w:ascii="宋体" w:hAnsi="宋体" w:cs="宋体"/>
                <w:bCs/>
                <w:color w:val="000000"/>
                <w:lang w:eastAsia="zh-CN"/>
              </w:rPr>
              <w:t>1.港航公司</w:t>
            </w:r>
          </w:p>
        </w:tc>
        <w:tc>
          <w:tcPr>
            <w:tcW w:w="6093" w:type="dxa"/>
            <w:vAlign w:val="center"/>
          </w:tcPr>
          <w:p>
            <w:pPr>
              <w:pStyle w:val="2"/>
              <w:adjustRightInd w:val="0"/>
              <w:snapToGrid w:val="0"/>
              <w:spacing w:after="0"/>
              <w:rPr>
                <w:lang w:eastAsia="zh-CN"/>
              </w:rPr>
            </w:pPr>
            <w:r>
              <w:rPr>
                <w:rFonts w:hint="eastAsia"/>
                <w:lang w:eastAsia="zh-CN"/>
              </w:rPr>
              <w:t>港航公司1994年5月成立于中国天津市，是集港口与航道、市政、房建、水利水电、机电安装、环保、管桩制造、混凝土构件预制等工程业务于一体的综合型施工企业。</w:t>
            </w:r>
          </w:p>
          <w:p>
            <w:pPr>
              <w:pStyle w:val="2"/>
              <w:adjustRightInd w:val="0"/>
              <w:snapToGrid w:val="0"/>
              <w:spacing w:after="0"/>
              <w:rPr>
                <w:lang w:eastAsia="zh-CN"/>
              </w:rPr>
            </w:pPr>
          </w:p>
          <w:p>
            <w:pPr>
              <w:pStyle w:val="2"/>
              <w:adjustRightInd w:val="0"/>
              <w:snapToGrid w:val="0"/>
              <w:spacing w:after="0"/>
              <w:rPr>
                <w:lang w:eastAsia="zh-CN"/>
              </w:rPr>
            </w:pPr>
            <w:r>
              <w:rPr>
                <w:rFonts w:hint="eastAsia" w:ascii="宋体" w:hAnsi="宋体" w:cs="宋体"/>
                <w:bCs/>
                <w:color w:val="000000"/>
                <w:lang w:eastAsia="zh-CN"/>
              </w:rPr>
              <w:t>港航公司最终控制人为天津港（集团）有限公司（“天</w:t>
            </w:r>
            <w:r>
              <w:rPr>
                <w:rFonts w:hint="eastAsia" w:ascii="宋体" w:hAnsi="宋体" w:cs="宋体"/>
                <w:b/>
                <w:color w:val="000000"/>
                <w:lang w:eastAsia="zh-CN"/>
              </w:rPr>
              <w:t>津港集团</w:t>
            </w:r>
            <w:r>
              <w:rPr>
                <w:rFonts w:hint="eastAsia" w:ascii="宋体" w:hAnsi="宋体" w:cs="宋体"/>
                <w:bCs/>
                <w:color w:val="000000"/>
                <w:lang w:eastAsia="zh-CN"/>
              </w:rPr>
              <w:t>”），主要业务为港口装卸服务、港口仓储堆场、进出口贸易、海关查验、区域开发建设等服务。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1607" w:type="dxa"/>
            <w:vAlign w:val="center"/>
          </w:tcPr>
          <w:p>
            <w:pPr>
              <w:pStyle w:val="2"/>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2.</w:t>
            </w:r>
            <w:r>
              <w:rPr>
                <w:rFonts w:hint="eastAsia"/>
              </w:rPr>
              <w:t xml:space="preserve"> </w:t>
            </w:r>
            <w:r>
              <w:rPr>
                <w:rFonts w:hint="eastAsia" w:ascii="宋体" w:hAnsi="宋体" w:cs="宋体"/>
                <w:bCs/>
                <w:color w:val="000000"/>
                <w:lang w:eastAsia="zh-CN"/>
              </w:rPr>
              <w:t>电力公司</w:t>
            </w:r>
          </w:p>
          <w:p>
            <w:pPr>
              <w:pStyle w:val="2"/>
              <w:adjustRightInd w:val="0"/>
              <w:snapToGrid w:val="0"/>
              <w:spacing w:after="0"/>
              <w:rPr>
                <w:rFonts w:ascii="宋体" w:hAnsi="宋体" w:cs="宋体"/>
                <w:bCs/>
                <w:color w:val="000000"/>
                <w:lang w:eastAsia="zh-CN"/>
              </w:rPr>
            </w:pPr>
          </w:p>
        </w:tc>
        <w:tc>
          <w:tcPr>
            <w:tcW w:w="6093" w:type="dxa"/>
            <w:vAlign w:val="center"/>
          </w:tcPr>
          <w:p>
            <w:pPr>
              <w:adjustRightInd w:val="0"/>
              <w:snapToGrid w:val="0"/>
              <w:spacing w:after="0"/>
              <w:rPr>
                <w:rFonts w:ascii="宋体" w:hAnsi="宋体" w:cs="宋体"/>
                <w:bCs/>
                <w:color w:val="000000"/>
                <w:lang w:val="en-US"/>
              </w:rPr>
            </w:pPr>
            <w:r>
              <w:rPr>
                <w:rFonts w:hint="eastAsia" w:ascii="宋体" w:hAnsi="宋体" w:cs="宋体"/>
                <w:bCs/>
                <w:color w:val="000000"/>
                <w:lang w:val="en-US"/>
              </w:rPr>
              <w:t>电力公司2007年3月成立于中国天津市，主要负责天津港生产建设及经营管理供电系统运行及管理。</w:t>
            </w:r>
          </w:p>
          <w:p>
            <w:pPr>
              <w:adjustRightInd w:val="0"/>
              <w:snapToGrid w:val="0"/>
              <w:spacing w:after="0"/>
              <w:rPr>
                <w:rFonts w:ascii="宋体" w:hAnsi="宋体" w:cs="宋体"/>
                <w:bCs/>
                <w:color w:val="000000"/>
                <w:lang w:val="en-US"/>
              </w:rPr>
            </w:pPr>
          </w:p>
          <w:p>
            <w:pPr>
              <w:adjustRightInd w:val="0"/>
              <w:snapToGrid w:val="0"/>
              <w:spacing w:after="0"/>
              <w:rPr>
                <w:rFonts w:ascii="宋体" w:hAnsi="宋体" w:cs="宋体"/>
                <w:bCs/>
                <w:color w:val="000000"/>
              </w:rPr>
            </w:pPr>
            <w:r>
              <w:rPr>
                <w:rFonts w:hint="eastAsia" w:ascii="宋体" w:hAnsi="宋体" w:cs="宋体"/>
                <w:bCs/>
                <w:color w:val="000000"/>
                <w:lang w:val="en-US"/>
              </w:rPr>
              <w:t>电力公司最终控制人为天津港集团，主要业务为港口装卸服务、港口仓储堆场、进出口贸易、海关查验、区域开发建设等服务。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1607" w:type="dxa"/>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3.</w:t>
            </w:r>
            <w:r>
              <w:rPr>
                <w:rFonts w:ascii="宋体" w:hAnsi="宋体" w:cs="宋体"/>
                <w:bCs/>
                <w:color w:val="000000"/>
                <w:lang w:eastAsia="zh-CN"/>
              </w:rPr>
              <w:t xml:space="preserve"> </w:t>
            </w:r>
            <w:r>
              <w:rPr>
                <w:rFonts w:hint="eastAsia" w:ascii="宋体" w:hAnsi="宋体" w:cs="宋体"/>
                <w:bCs/>
                <w:color w:val="000000"/>
                <w:lang w:eastAsia="zh-CN"/>
              </w:rPr>
              <w:t>远海金风</w:t>
            </w:r>
          </w:p>
        </w:tc>
        <w:tc>
          <w:tcPr>
            <w:tcW w:w="6093" w:type="dxa"/>
            <w:vAlign w:val="center"/>
          </w:tcPr>
          <w:p>
            <w:pPr>
              <w:adjustRightInd w:val="0"/>
              <w:snapToGrid w:val="0"/>
              <w:spacing w:after="0"/>
            </w:pPr>
            <w:r>
              <w:rPr>
                <w:rFonts w:hint="eastAsia"/>
              </w:rPr>
              <w:t>远海金风2020年8月成立于中国天津市，主要聚焦分布式新能源开发运营、港航综合智慧节能服务、电动车船产品以及电力交易与灵活调度四大核心业务。</w:t>
            </w:r>
          </w:p>
          <w:p>
            <w:pPr>
              <w:adjustRightInd w:val="0"/>
              <w:snapToGrid w:val="0"/>
              <w:spacing w:after="0"/>
            </w:pPr>
          </w:p>
          <w:p>
            <w:pPr>
              <w:adjustRightInd w:val="0"/>
              <w:snapToGrid w:val="0"/>
              <w:spacing w:after="0"/>
              <w:rPr>
                <w:rFonts w:ascii="宋体" w:hAnsi="宋体" w:cs="宋体"/>
                <w:bCs/>
                <w:color w:val="000000"/>
                <w:lang w:val="en-US"/>
              </w:rPr>
            </w:pPr>
            <w:r>
              <w:rPr>
                <w:rFonts w:hint="eastAsia" w:ascii="宋体" w:hAnsi="宋体" w:cs="宋体"/>
                <w:bCs/>
                <w:color w:val="000000"/>
                <w:lang w:val="en-US"/>
              </w:rPr>
              <w:t>远海金风最终控制人为深交所上市公司新疆金风科技股份有限公司（“</w:t>
            </w:r>
            <w:r>
              <w:rPr>
                <w:rFonts w:hint="eastAsia" w:ascii="宋体" w:hAnsi="宋体" w:cs="宋体"/>
                <w:b/>
                <w:color w:val="000000"/>
                <w:lang w:val="en-US"/>
              </w:rPr>
              <w:t>金风科技</w:t>
            </w:r>
            <w:r>
              <w:rPr>
                <w:rFonts w:hint="eastAsia" w:ascii="宋体" w:hAnsi="宋体" w:cs="宋体"/>
                <w:bCs/>
                <w:color w:val="000000"/>
                <w:lang w:val="en-US"/>
              </w:rPr>
              <w:t>”）、中国远洋海运集团有限公司（“</w:t>
            </w:r>
            <w:r>
              <w:rPr>
                <w:rFonts w:hint="eastAsia" w:ascii="宋体" w:hAnsi="宋体" w:cs="宋体"/>
                <w:b/>
                <w:color w:val="000000"/>
                <w:lang w:val="en-US"/>
              </w:rPr>
              <w:t>中远海运集团</w:t>
            </w:r>
            <w:r>
              <w:rPr>
                <w:rFonts w:hint="eastAsia" w:ascii="宋体" w:hAnsi="宋体" w:cs="宋体"/>
                <w:bCs/>
                <w:color w:val="000000"/>
                <w:lang w:val="en-US"/>
              </w:rPr>
              <w:t>”）。金风科技的主营业务为风机制造、风电服务、风电场投资与开发；中远海运集团主要从事航运、物流、船舶制造等业务。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简易案件理由</w:t>
            </w: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ascii="宋体" w:hAnsi="宋体" w:cs="宋体"/>
                <w:bCs/>
                <w:color w:val="000000"/>
                <w:lang w:eastAsia="zh-CN"/>
              </w:rPr>
              <w:t xml:space="preserve"> </w:t>
            </w:r>
            <w:r>
              <w:rPr>
                <w:rFonts w:hint="eastAsia" w:ascii="宋体" w:hAnsi="宋体" w:cs="宋体"/>
                <w:bCs/>
                <w:color w:val="000000"/>
                <w:lang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2"/>
              <w:adjustRightInd w:val="0"/>
              <w:snapToGrid w:val="0"/>
              <w:spacing w:after="0"/>
              <w:rPr>
                <w:rFonts w:ascii="宋体" w:hAnsi="宋体" w:cs="宋体"/>
                <w:bCs/>
                <w:color w:val="000000"/>
                <w:lang w:val="en-US" w:eastAsia="zh-CN"/>
              </w:rPr>
            </w:pPr>
          </w:p>
        </w:tc>
        <w:tc>
          <w:tcPr>
            <w:tcW w:w="7700" w:type="dxa"/>
            <w:gridSpan w:val="2"/>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pStyle w:val="2"/>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vAlign w:val="center"/>
          </w:tcPr>
          <w:p>
            <w:pPr>
              <w:pStyle w:val="2"/>
              <w:adjustRightInd w:val="0"/>
              <w:snapToGrid w:val="0"/>
              <w:spacing w:after="0"/>
              <w:rPr>
                <w:rFonts w:ascii="宋体" w:hAnsi="宋体" w:cs="宋体"/>
                <w:b/>
                <w:color w:val="000000"/>
                <w:lang w:eastAsia="zh-CN"/>
              </w:rPr>
            </w:pPr>
            <w:r>
              <w:rPr>
                <w:rFonts w:hint="eastAsia" w:ascii="宋体" w:hAnsi="宋体" w:cs="宋体"/>
                <w:b/>
                <w:color w:val="000000"/>
                <w:lang w:eastAsia="zh-CN"/>
              </w:rPr>
              <w:t>混合集中：</w:t>
            </w:r>
          </w:p>
          <w:p>
            <w:pPr>
              <w:pStyle w:val="2"/>
              <w:adjustRightInd w:val="0"/>
              <w:snapToGrid w:val="0"/>
              <w:spacing w:after="0"/>
              <w:rPr>
                <w:rFonts w:ascii="宋体" w:hAnsi="宋体" w:cs="宋体"/>
                <w:bCs/>
                <w:color w:val="000000"/>
                <w:lang w:eastAsia="zh-CN"/>
              </w:rPr>
            </w:pPr>
            <w:r>
              <w:rPr>
                <w:rFonts w:hint="eastAsia" w:ascii="宋体" w:hAnsi="宋体" w:cs="宋体"/>
                <w:bCs/>
                <w:color w:val="000000"/>
                <w:lang w:eastAsia="zh-CN"/>
              </w:rPr>
              <w:t>202</w:t>
            </w:r>
            <w:r>
              <w:rPr>
                <w:rFonts w:ascii="宋体" w:hAnsi="宋体" w:cs="宋体"/>
                <w:bCs/>
                <w:color w:val="000000"/>
                <w:lang w:eastAsia="zh-CN"/>
              </w:rPr>
              <w:t>1</w:t>
            </w:r>
            <w:r>
              <w:rPr>
                <w:rFonts w:hint="eastAsia" w:ascii="宋体" w:hAnsi="宋体" w:cs="宋体"/>
                <w:bCs/>
                <w:color w:val="000000"/>
                <w:lang w:eastAsia="zh-CN"/>
              </w:rPr>
              <w:t>年中国境内陆上风力发电市场</w:t>
            </w:r>
          </w:p>
          <w:p>
            <w:pPr>
              <w:pStyle w:val="2"/>
              <w:adjustRightInd w:val="0"/>
              <w:snapToGrid w:val="0"/>
              <w:spacing w:after="0"/>
              <w:rPr>
                <w:rFonts w:ascii="宋体" w:hAnsi="宋体" w:cs="宋体"/>
                <w:bCs/>
                <w:color w:val="000000"/>
                <w:lang w:eastAsia="zh-CN"/>
              </w:rPr>
            </w:pPr>
            <w:r>
              <w:rPr>
                <w:rFonts w:hint="eastAsia" w:ascii="宋体" w:hAnsi="宋体" w:cs="宋体"/>
                <w:bCs/>
                <w:color w:val="000000"/>
                <w:lang w:eastAsia="zh-CN"/>
              </w:rPr>
              <w:t>远海金风：0-5%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implified Arabic">
    <w:panose1 w:val="02020603050405020304"/>
    <w:charset w:val="B2"/>
    <w:family w:val="roman"/>
    <w:pitch w:val="default"/>
    <w:sig w:usb0="00002003" w:usb1="00000000" w:usb2="00000000" w:usb3="00000000" w:csb0="00000041" w:csb1="2008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2C"/>
    <w:rsid w:val="00405BF5"/>
    <w:rsid w:val="006F15CD"/>
    <w:rsid w:val="0078302A"/>
    <w:rsid w:val="00F8482C"/>
    <w:rsid w:val="40B27274"/>
    <w:rsid w:val="7FFEC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jc w:val="both"/>
    </w:pPr>
    <w:rPr>
      <w:rFonts w:ascii="Times New Roman" w:hAnsi="Times New Roman" w:eastAsia="宋体" w:cs="Times New Roman"/>
      <w:kern w:val="0"/>
      <w:sz w:val="24"/>
      <w:szCs w:val="24"/>
      <w:lang w:val="en-GB" w:eastAsia="zh-CN" w:bidi="ar-AE"/>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6"/>
    <w:qFormat/>
    <w:uiPriority w:val="0"/>
    <w:rPr>
      <w:rFonts w:cs="Simplified Arabic"/>
      <w:lang w:eastAsia="en-GB"/>
    </w:rPr>
  </w:style>
  <w:style w:type="table" w:styleId="4">
    <w:name w:val="Table Grid"/>
    <w:basedOn w:val="3"/>
    <w:qFormat/>
    <w:uiPriority w:val="59"/>
    <w:rPr>
      <w:rFonts w:ascii="Calibri" w:hAnsi="Calibri"/>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正文文本 字符"/>
    <w:basedOn w:val="5"/>
    <w:link w:val="2"/>
    <w:qFormat/>
    <w:uiPriority w:val="0"/>
    <w:rPr>
      <w:rFonts w:cs="Simplified Arabic"/>
      <w:kern w:val="0"/>
      <w:sz w:val="24"/>
      <w:szCs w:val="24"/>
      <w:lang w:val="en-GB" w:eastAsia="en-GB" w:bidi="ar-A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169</Words>
  <Characters>969</Characters>
  <Lines>8</Lines>
  <Paragraphs>2</Paragraphs>
  <TotalTime>4</TotalTime>
  <ScaleCrop>false</ScaleCrop>
  <LinksUpToDate>false</LinksUpToDate>
  <CharactersWithSpaces>1136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2022-06-28T10:44:00Z</dcterms:created>
  <dc:creator>Jingshuang Ma</dc:creator>
  <cp:lastModifiedBy>袁振</cp:lastModifiedBy>
  <dcterms:modified xsi:type="dcterms:W3CDTF">2022-06-29T00:44:55Z</dcterms:modified>
  <dc:title>经营者集中简易案件公示表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