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/>
        <w:spacing w:after="240"/>
        <w:jc w:val="center"/>
        <w:rPr>
          <w:rFonts w:ascii="Times New Roman" w:hAnsi="Times New Roman" w:eastAsia="黑体"/>
          <w:bCs/>
          <w:kern w:val="0"/>
          <w:sz w:val="36"/>
          <w:szCs w:val="36"/>
          <w:lang w:val="en-GB" w:bidi="ar-AE"/>
        </w:rPr>
      </w:pPr>
      <w:r>
        <w:rPr>
          <w:rFonts w:ascii="Times New Roman" w:hAnsi="Times New Roman" w:eastAsia="黑体"/>
          <w:bCs/>
          <w:kern w:val="0"/>
          <w:sz w:val="36"/>
          <w:szCs w:val="36"/>
          <w:lang w:val="en-GB" w:bidi="ar-AE"/>
        </w:rPr>
        <w:t>经营者集中简易案件公示表</w:t>
      </w:r>
    </w:p>
    <w:tbl>
      <w:tblPr>
        <w:tblStyle w:val="6"/>
        <w:tblW w:w="9215" w:type="dxa"/>
        <w:tblInd w:w="-28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8"/>
        <w:gridCol w:w="1796"/>
        <w:gridCol w:w="532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1" w:hRule="atLeast"/>
        </w:trPr>
        <w:tc>
          <w:tcPr>
            <w:tcW w:w="2098" w:type="dxa"/>
            <w:shd w:val="clear" w:color="auto" w:fill="D9D9D9"/>
            <w:vAlign w:val="center"/>
          </w:tcPr>
          <w:p>
            <w:pPr>
              <w:rPr>
                <w:rFonts w:ascii="Times New Roman" w:hAnsi="Times New Roman"/>
                <w:bCs/>
                <w:sz w:val="24"/>
              </w:rPr>
            </w:pPr>
            <w:r>
              <w:rPr>
                <w:rFonts w:ascii="Times New Roman" w:hAnsi="Times New Roman"/>
                <w:bCs/>
                <w:color w:val="000000"/>
                <w:sz w:val="24"/>
                <w:lang w:val="en-GB"/>
              </w:rPr>
              <w:t>案件名称</w:t>
            </w:r>
          </w:p>
        </w:tc>
        <w:tc>
          <w:tcPr>
            <w:tcW w:w="7117" w:type="dxa"/>
            <w:gridSpan w:val="2"/>
            <w:vAlign w:val="center"/>
          </w:tcPr>
          <w:p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eastAsia"/>
                <w:kern w:val="0"/>
                <w:sz w:val="24"/>
                <w:szCs w:val="24"/>
                <w:lang w:val="en-GB"/>
              </w:rPr>
              <w:t>日本电气株式会社与</w:t>
            </w:r>
            <w:r>
              <w:rPr>
                <w:kern w:val="0"/>
                <w:sz w:val="24"/>
                <w:szCs w:val="24"/>
              </w:rPr>
              <w:t>鹿岛建设株式会社</w:t>
            </w:r>
            <w:r>
              <w:rPr>
                <w:rFonts w:hint="eastAsia"/>
                <w:kern w:val="0"/>
                <w:sz w:val="24"/>
                <w:szCs w:val="24"/>
                <w:lang w:val="en-GB"/>
              </w:rPr>
              <w:t>新设合营企业案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3" w:hRule="atLeast"/>
        </w:trPr>
        <w:tc>
          <w:tcPr>
            <w:tcW w:w="2098" w:type="dxa"/>
            <w:shd w:val="clear" w:color="auto" w:fill="D9D9D9"/>
            <w:vAlign w:val="center"/>
          </w:tcPr>
          <w:p>
            <w:pPr>
              <w:rPr>
                <w:rFonts w:ascii="Times New Roman" w:hAnsi="Times New Roman"/>
                <w:bCs/>
                <w:sz w:val="24"/>
              </w:rPr>
            </w:pPr>
            <w:r>
              <w:rPr>
                <w:rFonts w:ascii="Times New Roman" w:hAnsi="Times New Roman"/>
                <w:bCs/>
                <w:color w:val="000000"/>
                <w:sz w:val="24"/>
                <w:lang w:val="en-GB"/>
              </w:rPr>
              <w:t>交易概况（限200字内）</w:t>
            </w:r>
          </w:p>
        </w:tc>
        <w:tc>
          <w:tcPr>
            <w:tcW w:w="7117" w:type="dxa"/>
            <w:gridSpan w:val="2"/>
          </w:tcPr>
          <w:p>
            <w:pPr>
              <w:widowControl/>
              <w:snapToGrid w:val="0"/>
              <w:rPr>
                <w:rFonts w:ascii="Times New Roman" w:hAnsi="Times New Roman"/>
                <w:kern w:val="0"/>
                <w:sz w:val="24"/>
                <w:szCs w:val="21"/>
                <w:lang w:val="en-GB"/>
              </w:rPr>
            </w:pPr>
            <w:r>
              <w:rPr>
                <w:rFonts w:hint="eastAsia" w:ascii="Times New Roman" w:hAnsi="Times New Roman"/>
                <w:kern w:val="0"/>
                <w:sz w:val="24"/>
                <w:szCs w:val="21"/>
                <w:lang w:val="en-GB"/>
              </w:rPr>
              <w:t>2022年4月26日，日本电气株式会社（“</w:t>
            </w:r>
            <w:r>
              <w:rPr>
                <w:rFonts w:hint="eastAsia" w:ascii="Times New Roman" w:hAnsi="Times New Roman"/>
                <w:b/>
                <w:bCs/>
                <w:kern w:val="0"/>
                <w:sz w:val="24"/>
                <w:szCs w:val="21"/>
                <w:lang w:val="en-GB"/>
              </w:rPr>
              <w:t>日本电气</w:t>
            </w:r>
            <w:r>
              <w:rPr>
                <w:rFonts w:hint="eastAsia" w:ascii="Times New Roman" w:hAnsi="Times New Roman"/>
                <w:kern w:val="0"/>
                <w:sz w:val="24"/>
                <w:szCs w:val="21"/>
                <w:lang w:val="en-GB"/>
              </w:rPr>
              <w:t>”）与鹿岛建设株式会社（“</w:t>
            </w:r>
            <w:r>
              <w:rPr>
                <w:rFonts w:hint="eastAsia" w:ascii="Times New Roman" w:hAnsi="Times New Roman"/>
                <w:b/>
                <w:bCs/>
                <w:kern w:val="0"/>
                <w:sz w:val="24"/>
                <w:szCs w:val="21"/>
                <w:lang w:val="en-GB"/>
              </w:rPr>
              <w:t>鹿岛建设</w:t>
            </w:r>
            <w:r>
              <w:rPr>
                <w:rFonts w:hint="eastAsia" w:ascii="Times New Roman" w:hAnsi="Times New Roman"/>
                <w:kern w:val="0"/>
                <w:sz w:val="24"/>
                <w:szCs w:val="21"/>
                <w:lang w:val="en-GB"/>
              </w:rPr>
              <w:t>”）签订了股东协议，根据该协议，日本电气和鹿岛建设拟新设一家合营企业，即株式会社KNC Planning（“</w:t>
            </w:r>
            <w:r>
              <w:rPr>
                <w:rFonts w:hint="eastAsia" w:ascii="Times New Roman" w:hAnsi="Times New Roman"/>
                <w:b/>
                <w:bCs/>
                <w:kern w:val="0"/>
                <w:sz w:val="24"/>
                <w:szCs w:val="21"/>
                <w:lang w:val="en-GB"/>
              </w:rPr>
              <w:t>合营企业</w:t>
            </w:r>
            <w:r>
              <w:rPr>
                <w:rFonts w:hint="eastAsia" w:ascii="Times New Roman" w:hAnsi="Times New Roman"/>
                <w:kern w:val="0"/>
                <w:sz w:val="24"/>
                <w:szCs w:val="21"/>
                <w:lang w:val="en-GB"/>
              </w:rPr>
              <w:t>”），以开发新型自动化建筑技术（“</w:t>
            </w:r>
            <w:r>
              <w:rPr>
                <w:rFonts w:hint="eastAsia" w:ascii="Times New Roman" w:hAnsi="Times New Roman"/>
                <w:b/>
                <w:bCs/>
                <w:kern w:val="0"/>
                <w:sz w:val="24"/>
                <w:szCs w:val="21"/>
                <w:lang w:val="en-GB"/>
              </w:rPr>
              <w:t>拟议交易</w:t>
            </w:r>
            <w:r>
              <w:rPr>
                <w:rFonts w:hint="eastAsia" w:ascii="Times New Roman" w:hAnsi="Times New Roman"/>
                <w:kern w:val="0"/>
                <w:sz w:val="24"/>
                <w:szCs w:val="21"/>
                <w:lang w:val="en-GB"/>
              </w:rPr>
              <w:t>”）。</w:t>
            </w:r>
          </w:p>
          <w:p>
            <w:pPr>
              <w:widowControl/>
              <w:snapToGrid w:val="0"/>
              <w:rPr>
                <w:rFonts w:ascii="Times New Roman" w:hAnsi="Times New Roman"/>
                <w:sz w:val="24"/>
                <w:lang w:val="en-GB"/>
              </w:rPr>
            </w:pPr>
            <w:r>
              <w:rPr>
                <w:rFonts w:hint="eastAsia" w:ascii="Times New Roman" w:hAnsi="Times New Roman"/>
                <w:kern w:val="0"/>
                <w:sz w:val="24"/>
                <w:szCs w:val="21"/>
                <w:lang w:val="en-GB"/>
              </w:rPr>
              <w:t>拟议交易完成后，日本电气和鹿岛建设将各自持有合营企业50%的股份，并取得合营企业反垄断法意义下的共同控制权。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6" w:hRule="atLeast"/>
        </w:trPr>
        <w:tc>
          <w:tcPr>
            <w:tcW w:w="2098" w:type="dxa"/>
            <w:vMerge w:val="restart"/>
            <w:shd w:val="clear" w:color="auto" w:fill="D9D9D9"/>
            <w:vAlign w:val="center"/>
          </w:tcPr>
          <w:p>
            <w:pPr>
              <w:rPr>
                <w:rFonts w:ascii="Times New Roman" w:hAnsi="Times New Roman"/>
                <w:bCs/>
                <w:color w:val="000000"/>
                <w:sz w:val="24"/>
                <w:lang w:val="en-GB"/>
              </w:rPr>
            </w:pPr>
            <w:r>
              <w:rPr>
                <w:rFonts w:ascii="Times New Roman" w:hAnsi="Times New Roman"/>
                <w:bCs/>
                <w:color w:val="000000"/>
                <w:sz w:val="24"/>
                <w:lang w:val="en-GB"/>
              </w:rPr>
              <w:t>参与集中的经营者简介</w:t>
            </w:r>
          </w:p>
        </w:tc>
        <w:tc>
          <w:tcPr>
            <w:tcW w:w="1796" w:type="dxa"/>
            <w:vAlign w:val="center"/>
          </w:tcPr>
          <w:p>
            <w:pPr>
              <w:rPr>
                <w:rFonts w:ascii="Times New Roman" w:hAnsi="Times New Roman"/>
                <w:sz w:val="24"/>
                <w:szCs w:val="21"/>
              </w:rPr>
            </w:pPr>
            <w:r>
              <w:rPr>
                <w:rFonts w:hint="eastAsia" w:ascii="Times New Roman" w:hAnsi="Times New Roman"/>
                <w:sz w:val="24"/>
                <w:szCs w:val="21"/>
              </w:rPr>
              <w:t>日本电气</w:t>
            </w:r>
          </w:p>
        </w:tc>
        <w:tc>
          <w:tcPr>
            <w:tcW w:w="5321" w:type="dxa"/>
          </w:tcPr>
          <w:p>
            <w:pPr>
              <w:rPr>
                <w:rFonts w:ascii="Times New Roman" w:hAnsi="Times New Roman"/>
                <w:sz w:val="24"/>
                <w:szCs w:val="21"/>
              </w:rPr>
            </w:pPr>
            <w:r>
              <w:rPr>
                <w:rFonts w:hint="eastAsia" w:ascii="Times New Roman" w:hAnsi="Times New Roman"/>
                <w:sz w:val="24"/>
                <w:szCs w:val="21"/>
              </w:rPr>
              <w:t>日本电气于1</w:t>
            </w:r>
            <w:r>
              <w:rPr>
                <w:rFonts w:ascii="Times New Roman" w:hAnsi="Times New Roman"/>
                <w:sz w:val="24"/>
                <w:szCs w:val="21"/>
              </w:rPr>
              <w:t>899</w:t>
            </w:r>
            <w:r>
              <w:rPr>
                <w:rFonts w:hint="eastAsia" w:ascii="Times New Roman" w:hAnsi="Times New Roman"/>
                <w:sz w:val="24"/>
                <w:szCs w:val="21"/>
              </w:rPr>
              <w:t>年7月1</w:t>
            </w:r>
            <w:r>
              <w:rPr>
                <w:rFonts w:ascii="Times New Roman" w:hAnsi="Times New Roman"/>
                <w:sz w:val="24"/>
                <w:szCs w:val="21"/>
              </w:rPr>
              <w:t>7</w:t>
            </w:r>
            <w:r>
              <w:rPr>
                <w:rFonts w:hint="eastAsia" w:ascii="Times New Roman" w:hAnsi="Times New Roman"/>
                <w:sz w:val="24"/>
                <w:szCs w:val="21"/>
              </w:rPr>
              <w:t>日成立于日本，是东京证券交易所上市公司。日本电气及其关联公司在全球范围内开展公共解决方案业务、公共基础设施业务、企业业务、网络服务业务等。</w:t>
            </w:r>
          </w:p>
          <w:p>
            <w:pPr>
              <w:rPr>
                <w:rFonts w:hint="eastAsia" w:ascii="Times New Roman" w:hAnsi="Times New Roman" w:eastAsia="宋体"/>
                <w:sz w:val="24"/>
                <w:szCs w:val="21"/>
                <w:lang w:eastAsia="zh-CN"/>
              </w:rPr>
            </w:pPr>
            <w:r>
              <w:rPr>
                <w:rFonts w:hint="eastAsia" w:ascii="Times New Roman" w:hAnsi="Times New Roman"/>
                <w:sz w:val="24"/>
                <w:szCs w:val="21"/>
              </w:rPr>
              <w:t>日本电气没有最终控制人</w:t>
            </w:r>
            <w:r>
              <w:rPr>
                <w:rFonts w:hint="eastAsia" w:ascii="Times New Roman" w:hAnsi="Times New Roman"/>
                <w:sz w:val="24"/>
                <w:szCs w:val="21"/>
                <w:lang w:eastAsia="zh-CN"/>
              </w:rPr>
              <w:t>。</w:t>
            </w:r>
            <w:bookmarkStart w:id="0" w:name="_GoBack"/>
            <w:bookmarkEnd w:id="0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03" w:hRule="atLeast"/>
        </w:trPr>
        <w:tc>
          <w:tcPr>
            <w:tcW w:w="2098" w:type="dxa"/>
            <w:vMerge w:val="continue"/>
            <w:shd w:val="clear" w:color="auto" w:fill="D9D9D9"/>
            <w:vAlign w:val="center"/>
          </w:tcPr>
          <w:p>
            <w:pPr>
              <w:rPr>
                <w:rFonts w:ascii="Times New Roman" w:hAnsi="Times New Roman"/>
                <w:bCs/>
                <w:sz w:val="24"/>
              </w:rPr>
            </w:pPr>
          </w:p>
        </w:tc>
        <w:tc>
          <w:tcPr>
            <w:tcW w:w="1796" w:type="dxa"/>
            <w:vAlign w:val="center"/>
          </w:tcPr>
          <w:p>
            <w:pPr>
              <w:rPr>
                <w:rFonts w:ascii="Times New Roman" w:hAnsi="Times New Roman"/>
                <w:sz w:val="24"/>
                <w:szCs w:val="21"/>
              </w:rPr>
            </w:pPr>
            <w:r>
              <w:rPr>
                <w:rFonts w:hint="eastAsia" w:ascii="Times New Roman" w:hAnsi="Times New Roman"/>
                <w:kern w:val="0"/>
                <w:sz w:val="24"/>
                <w:szCs w:val="21"/>
                <w:lang w:val="en-GB"/>
              </w:rPr>
              <w:t>鹿岛建设</w:t>
            </w:r>
          </w:p>
        </w:tc>
        <w:tc>
          <w:tcPr>
            <w:tcW w:w="5321" w:type="dxa"/>
          </w:tcPr>
          <w:p>
            <w:pPr>
              <w:rPr>
                <w:rFonts w:ascii="Times New Roman" w:hAnsi="Times New Roman"/>
                <w:sz w:val="24"/>
                <w:szCs w:val="21"/>
              </w:rPr>
            </w:pPr>
            <w:r>
              <w:rPr>
                <w:rFonts w:hint="eastAsia" w:ascii="Times New Roman" w:hAnsi="Times New Roman"/>
                <w:sz w:val="24"/>
                <w:szCs w:val="21"/>
              </w:rPr>
              <w:t>鹿岛建设于1</w:t>
            </w:r>
            <w:r>
              <w:rPr>
                <w:rFonts w:ascii="Times New Roman" w:hAnsi="Times New Roman"/>
                <w:sz w:val="24"/>
                <w:szCs w:val="21"/>
              </w:rPr>
              <w:t>930</w:t>
            </w:r>
            <w:r>
              <w:rPr>
                <w:rFonts w:hint="eastAsia" w:ascii="Times New Roman" w:hAnsi="Times New Roman"/>
                <w:sz w:val="24"/>
                <w:szCs w:val="21"/>
              </w:rPr>
              <w:t>年2月2</w:t>
            </w:r>
            <w:r>
              <w:rPr>
                <w:rFonts w:ascii="Times New Roman" w:hAnsi="Times New Roman"/>
                <w:sz w:val="24"/>
                <w:szCs w:val="21"/>
              </w:rPr>
              <w:t>2</w:t>
            </w:r>
            <w:r>
              <w:rPr>
                <w:rFonts w:hint="eastAsia" w:ascii="Times New Roman" w:hAnsi="Times New Roman"/>
                <w:sz w:val="24"/>
                <w:szCs w:val="21"/>
              </w:rPr>
              <w:t>日成立于日本，是东京证券交易所和大阪证券交易所的上市公司。鹿岛建设及其关联公司主要开展土木建设工程、建筑施工、房地产开发业务。</w:t>
            </w:r>
          </w:p>
          <w:p>
            <w:pPr>
              <w:rPr>
                <w:rFonts w:ascii="Times New Roman" w:hAnsi="Times New Roman"/>
                <w:sz w:val="24"/>
                <w:szCs w:val="21"/>
              </w:rPr>
            </w:pPr>
            <w:r>
              <w:rPr>
                <w:rFonts w:hint="eastAsia" w:ascii="Times New Roman" w:hAnsi="Times New Roman"/>
                <w:sz w:val="24"/>
                <w:szCs w:val="21"/>
              </w:rPr>
              <w:t>鹿岛建设没有最终控制人。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</w:trPr>
        <w:tc>
          <w:tcPr>
            <w:tcW w:w="2098" w:type="dxa"/>
            <w:vMerge w:val="restart"/>
            <w:shd w:val="clear" w:color="auto" w:fill="D9D9D9"/>
            <w:vAlign w:val="center"/>
          </w:tcPr>
          <w:p>
            <w:pPr>
              <w:rPr>
                <w:rFonts w:ascii="Times New Roman" w:hAnsi="Times New Roman"/>
                <w:bCs/>
                <w:sz w:val="24"/>
              </w:rPr>
            </w:pPr>
            <w:r>
              <w:rPr>
                <w:rFonts w:ascii="Times New Roman" w:hAnsi="Times New Roman"/>
                <w:bCs/>
                <w:color w:val="000000"/>
                <w:sz w:val="24"/>
                <w:lang w:val="en-GB"/>
              </w:rPr>
              <w:t>简易案件理由</w:t>
            </w:r>
          </w:p>
        </w:tc>
        <w:tc>
          <w:tcPr>
            <w:tcW w:w="7117" w:type="dxa"/>
            <w:gridSpan w:val="2"/>
            <w:vAlign w:val="center"/>
          </w:tcPr>
          <w:p>
            <w:pPr>
              <w:rPr>
                <w:rFonts w:ascii="Times New Roman" w:hAnsi="Times New Roman"/>
                <w:sz w:val="24"/>
                <w:szCs w:val="21"/>
              </w:rPr>
            </w:pPr>
            <w:r>
              <w:rPr>
                <w:rFonts w:ascii="Times New Roman" w:hAnsi="Times New Roman"/>
                <w:bCs/>
                <w:color w:val="000000"/>
                <w:sz w:val="24"/>
                <w:szCs w:val="21"/>
                <w:lang w:val="en-GB"/>
              </w:rPr>
              <w:sym w:font="Wingdings" w:char="00A8"/>
            </w:r>
            <w:r>
              <w:rPr>
                <w:rFonts w:ascii="Times New Roman" w:hAnsi="Times New Roman"/>
                <w:bCs/>
                <w:color w:val="000000"/>
                <w:sz w:val="24"/>
                <w:szCs w:val="21"/>
                <w:lang w:val="en-GB"/>
              </w:rPr>
              <w:t xml:space="preserve"> 1、在同一相关市场，所有参与集中的经营者所占市场份额之和小于</w:t>
            </w:r>
            <w:r>
              <w:rPr>
                <w:rFonts w:ascii="Times New Roman" w:hAnsi="Times New Roman"/>
                <w:bCs/>
                <w:color w:val="000000"/>
                <w:sz w:val="24"/>
                <w:szCs w:val="21"/>
              </w:rPr>
              <w:t>15%</w:t>
            </w:r>
            <w:r>
              <w:rPr>
                <w:rFonts w:ascii="Times New Roman" w:hAnsi="Times New Roman"/>
                <w:bCs/>
                <w:color w:val="000000"/>
                <w:sz w:val="24"/>
                <w:szCs w:val="21"/>
                <w:lang w:val="en-GB"/>
              </w:rPr>
              <w:t>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2098" w:type="dxa"/>
            <w:vMerge w:val="continue"/>
            <w:shd w:val="clear" w:color="auto" w:fill="D9D9D9"/>
            <w:vAlign w:val="center"/>
          </w:tcPr>
          <w:p>
            <w:pPr>
              <w:rPr>
                <w:rFonts w:ascii="Times New Roman" w:hAnsi="Times New Roman"/>
                <w:bCs/>
                <w:sz w:val="24"/>
              </w:rPr>
            </w:pPr>
          </w:p>
        </w:tc>
        <w:tc>
          <w:tcPr>
            <w:tcW w:w="7117" w:type="dxa"/>
            <w:gridSpan w:val="2"/>
            <w:vAlign w:val="center"/>
          </w:tcPr>
          <w:p>
            <w:pPr>
              <w:rPr>
                <w:rFonts w:ascii="Times New Roman" w:hAnsi="Times New Roman"/>
                <w:sz w:val="24"/>
                <w:szCs w:val="21"/>
              </w:rPr>
            </w:pPr>
            <w:r>
              <w:rPr>
                <w:rFonts w:ascii="Times New Roman" w:hAnsi="Times New Roman"/>
                <w:bCs/>
                <w:color w:val="000000"/>
                <w:sz w:val="24"/>
                <w:szCs w:val="21"/>
                <w:lang w:val="en-GB"/>
              </w:rPr>
              <w:sym w:font="Wingdings" w:char="00A8"/>
            </w:r>
            <w:r>
              <w:rPr>
                <w:rFonts w:ascii="Times New Roman" w:hAnsi="Times New Roman"/>
                <w:bCs/>
                <w:color w:val="000000"/>
                <w:sz w:val="24"/>
                <w:szCs w:val="21"/>
                <w:lang w:val="en-GB"/>
              </w:rPr>
              <w:t xml:space="preserve"> 2、存在上下游关系的参与集中的经营者，在上下游市场所占的市场份额均小于</w:t>
            </w:r>
            <w:r>
              <w:rPr>
                <w:rFonts w:ascii="Times New Roman" w:hAnsi="Times New Roman"/>
                <w:bCs/>
                <w:color w:val="000000"/>
                <w:sz w:val="24"/>
                <w:szCs w:val="21"/>
              </w:rPr>
              <w:t>25%</w:t>
            </w:r>
            <w:r>
              <w:rPr>
                <w:rFonts w:ascii="Times New Roman" w:hAnsi="Times New Roman"/>
                <w:bCs/>
                <w:color w:val="000000"/>
                <w:sz w:val="24"/>
                <w:szCs w:val="21"/>
                <w:lang w:val="en-GB"/>
              </w:rPr>
              <w:t>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098" w:type="dxa"/>
            <w:vMerge w:val="continue"/>
            <w:shd w:val="clear" w:color="auto" w:fill="D9D9D9"/>
            <w:vAlign w:val="center"/>
          </w:tcPr>
          <w:p>
            <w:pPr>
              <w:rPr>
                <w:rFonts w:ascii="Times New Roman" w:hAnsi="Times New Roman"/>
                <w:bCs/>
                <w:sz w:val="24"/>
              </w:rPr>
            </w:pPr>
          </w:p>
        </w:tc>
        <w:tc>
          <w:tcPr>
            <w:tcW w:w="7117" w:type="dxa"/>
            <w:gridSpan w:val="2"/>
            <w:vAlign w:val="center"/>
          </w:tcPr>
          <w:p>
            <w:pPr>
              <w:rPr>
                <w:rFonts w:ascii="Times New Roman" w:hAnsi="Times New Roman"/>
                <w:sz w:val="24"/>
                <w:szCs w:val="21"/>
              </w:rPr>
            </w:pPr>
            <w:r>
              <w:rPr>
                <w:rFonts w:ascii="Times New Roman" w:hAnsi="Times New Roman"/>
                <w:bCs/>
                <w:color w:val="000000"/>
                <w:sz w:val="24"/>
                <w:szCs w:val="21"/>
                <w:lang w:val="en-GB"/>
              </w:rPr>
              <w:sym w:font="Wingdings" w:char="00A8"/>
            </w:r>
            <w:r>
              <w:rPr>
                <w:rFonts w:ascii="Times New Roman" w:hAnsi="Times New Roman"/>
                <w:bCs/>
                <w:color w:val="000000"/>
                <w:sz w:val="24"/>
                <w:szCs w:val="21"/>
                <w:lang w:val="en-GB"/>
              </w:rPr>
              <w:t xml:space="preserve"> 3、不在同一相关市场、也不存在上下游关系的参与集中的经营者，在与交易有关的每个市场所占的份额均小于25%。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0" w:hRule="atLeast"/>
        </w:trPr>
        <w:tc>
          <w:tcPr>
            <w:tcW w:w="2098" w:type="dxa"/>
            <w:vMerge w:val="continue"/>
            <w:shd w:val="clear" w:color="auto" w:fill="D9D9D9"/>
            <w:vAlign w:val="center"/>
          </w:tcPr>
          <w:p>
            <w:pPr>
              <w:rPr>
                <w:rFonts w:ascii="Times New Roman" w:hAnsi="Times New Roman"/>
                <w:bCs/>
                <w:sz w:val="24"/>
              </w:rPr>
            </w:pPr>
          </w:p>
        </w:tc>
        <w:tc>
          <w:tcPr>
            <w:tcW w:w="7117" w:type="dxa"/>
            <w:gridSpan w:val="2"/>
            <w:vAlign w:val="center"/>
          </w:tcPr>
          <w:p>
            <w:pPr>
              <w:rPr>
                <w:rFonts w:ascii="Times New Roman" w:hAnsi="Times New Roman"/>
                <w:sz w:val="24"/>
                <w:szCs w:val="21"/>
              </w:rPr>
            </w:pPr>
            <w:r>
              <w:rPr>
                <w:rFonts w:ascii="Times New Roman" w:hAnsi="Times New Roman"/>
                <w:bCs/>
                <w:color w:val="000000"/>
                <w:sz w:val="24"/>
                <w:szCs w:val="21"/>
                <w:lang w:val="en-GB"/>
              </w:rPr>
              <w:sym w:font="Wingdings" w:char="00FE"/>
            </w:r>
            <w:r>
              <w:rPr>
                <w:rFonts w:ascii="Times New Roman" w:hAnsi="Times New Roman"/>
                <w:bCs/>
                <w:color w:val="000000"/>
                <w:sz w:val="24"/>
                <w:szCs w:val="21"/>
                <w:lang w:val="en-GB"/>
              </w:rPr>
              <w:t xml:space="preserve"> 4、参与集中的经营者在中国境外设立合营企业，合营企业不在中国境内从事经济活动。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2098" w:type="dxa"/>
            <w:vMerge w:val="continue"/>
            <w:shd w:val="clear" w:color="auto" w:fill="D9D9D9"/>
            <w:vAlign w:val="center"/>
          </w:tcPr>
          <w:p>
            <w:pPr>
              <w:rPr>
                <w:rFonts w:ascii="Times New Roman" w:hAnsi="Times New Roman"/>
                <w:bCs/>
                <w:sz w:val="24"/>
              </w:rPr>
            </w:pPr>
          </w:p>
        </w:tc>
        <w:tc>
          <w:tcPr>
            <w:tcW w:w="7117" w:type="dxa"/>
            <w:gridSpan w:val="2"/>
            <w:vAlign w:val="center"/>
          </w:tcPr>
          <w:p>
            <w:pPr>
              <w:rPr>
                <w:rFonts w:ascii="Times New Roman" w:hAnsi="Times New Roman"/>
                <w:sz w:val="24"/>
                <w:szCs w:val="21"/>
              </w:rPr>
            </w:pPr>
            <w:r>
              <w:rPr>
                <w:rFonts w:ascii="Times New Roman" w:hAnsi="Times New Roman"/>
                <w:bCs/>
                <w:color w:val="000000"/>
                <w:sz w:val="24"/>
                <w:szCs w:val="21"/>
                <w:lang w:val="en-GB"/>
              </w:rPr>
              <w:sym w:font="Wingdings" w:char="00A8"/>
            </w:r>
            <w:r>
              <w:rPr>
                <w:rFonts w:ascii="Times New Roman" w:hAnsi="Times New Roman"/>
                <w:bCs/>
                <w:color w:val="000000"/>
                <w:sz w:val="24"/>
                <w:szCs w:val="21"/>
                <w:lang w:val="en-GB"/>
              </w:rPr>
              <w:t xml:space="preserve"> 5、参与集中的经营者收购境外企业股权或资产的，该境外企业不在中国境内从事经济活动。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2098" w:type="dxa"/>
            <w:vMerge w:val="continue"/>
            <w:shd w:val="clear" w:color="auto" w:fill="D9D9D9"/>
            <w:vAlign w:val="center"/>
          </w:tcPr>
          <w:p>
            <w:pPr>
              <w:rPr>
                <w:rFonts w:ascii="Times New Roman" w:hAnsi="Times New Roman"/>
                <w:bCs/>
                <w:sz w:val="24"/>
              </w:rPr>
            </w:pPr>
          </w:p>
        </w:tc>
        <w:tc>
          <w:tcPr>
            <w:tcW w:w="7117" w:type="dxa"/>
            <w:gridSpan w:val="2"/>
            <w:vAlign w:val="center"/>
          </w:tcPr>
          <w:p>
            <w:pPr>
              <w:rPr>
                <w:rFonts w:ascii="Times New Roman" w:hAnsi="Times New Roman"/>
                <w:sz w:val="24"/>
                <w:szCs w:val="21"/>
              </w:rPr>
            </w:pPr>
            <w:r>
              <w:rPr>
                <w:rFonts w:ascii="Times New Roman" w:hAnsi="Times New Roman"/>
                <w:bCs/>
                <w:color w:val="000000"/>
                <w:sz w:val="24"/>
                <w:szCs w:val="21"/>
                <w:lang w:val="en-GB"/>
              </w:rPr>
              <w:sym w:font="Wingdings" w:char="00A8"/>
            </w:r>
            <w:r>
              <w:rPr>
                <w:rFonts w:ascii="Times New Roman" w:hAnsi="Times New Roman"/>
                <w:bCs/>
                <w:color w:val="000000"/>
                <w:sz w:val="24"/>
                <w:szCs w:val="21"/>
                <w:lang w:val="en-GB"/>
              </w:rPr>
              <w:t xml:space="preserve"> 6、由两个以上的经营者共同控制的合营企业，通过集中被其中一个或一个以上经营者控制。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8" w:type="dxa"/>
            <w:shd w:val="clear" w:color="auto" w:fill="D9D9D9"/>
            <w:vAlign w:val="center"/>
          </w:tcPr>
          <w:p>
            <w:pPr>
              <w:rPr>
                <w:rFonts w:ascii="Times New Roman" w:hAnsi="Times New Roman"/>
                <w:bCs/>
                <w:sz w:val="24"/>
              </w:rPr>
            </w:pPr>
            <w:r>
              <w:rPr>
                <w:rFonts w:ascii="Times New Roman" w:hAnsi="Times New Roman"/>
                <w:bCs/>
                <w:color w:val="000000"/>
                <w:sz w:val="24"/>
              </w:rPr>
              <w:t>备注</w:t>
            </w:r>
          </w:p>
        </w:tc>
        <w:tc>
          <w:tcPr>
            <w:tcW w:w="7117" w:type="dxa"/>
            <w:gridSpan w:val="2"/>
          </w:tcPr>
          <w:p>
            <w:pPr>
              <w:rPr>
                <w:rFonts w:ascii="Times New Roman" w:hAnsi="Times New Roman"/>
                <w:sz w:val="24"/>
                <w:szCs w:val="21"/>
              </w:rPr>
            </w:pPr>
            <w:r>
              <w:rPr>
                <w:rFonts w:hint="eastAsia" w:ascii="Times New Roman" w:hAnsi="Times New Roman"/>
                <w:sz w:val="24"/>
                <w:szCs w:val="21"/>
              </w:rPr>
              <w:t>不适用</w:t>
            </w:r>
          </w:p>
        </w:tc>
      </w:tr>
    </w:tbl>
    <w:p>
      <w:pPr>
        <w:rPr>
          <w:rFonts w:ascii="Times New Roman" w:hAnsi="Times New Roman"/>
        </w:rPr>
      </w:pPr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方正书宋_GB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Times New Roman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Liberation Serif">
    <w:panose1 w:val="02020603050405020304"/>
    <w:charset w:val="00"/>
    <w:family w:val="auto"/>
    <w:pitch w:val="default"/>
    <w:sig w:usb0="A00002AF" w:usb1="500078FB" w:usb2="00000000" w:usb3="00000000" w:csb0="6000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rFonts w:ascii="Times New Roman" w:hAnsi="Times New Roman"/>
      </w:rPr>
      <w:id w:val="158597304"/>
      <w:docPartObj>
        <w:docPartGallery w:val="AutoText"/>
      </w:docPartObj>
    </w:sdtPr>
    <w:sdtEndPr>
      <w:rPr>
        <w:rFonts w:ascii="Times New Roman" w:hAnsi="Times New Roman"/>
      </w:rPr>
    </w:sdtEndPr>
    <w:sdtContent>
      <w:sdt>
        <w:sdtPr>
          <w:rPr>
            <w:rFonts w:ascii="Times New Roman" w:hAnsi="Times New Roman"/>
          </w:rPr>
          <w:id w:val="1728636285"/>
          <w:docPartObj>
            <w:docPartGallery w:val="AutoText"/>
          </w:docPartObj>
        </w:sdtPr>
        <w:sdtEndPr>
          <w:rPr>
            <w:rFonts w:ascii="Times New Roman" w:hAnsi="Times New Roman"/>
          </w:rPr>
        </w:sdtEndPr>
        <w:sdtContent>
          <w:p>
            <w:pPr>
              <w:pStyle w:val="4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lang w:val="zh-CN"/>
              </w:rPr>
              <w:t xml:space="preserve">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/>
                <w:b/>
                <w:bCs/>
              </w:rPr>
              <w:instrText xml:space="preserve">PAGE</w:instrTex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/>
                <w:b/>
                <w:bCs/>
              </w:rPr>
              <w:t>1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end"/>
            </w:r>
            <w:r>
              <w:rPr>
                <w:rFonts w:ascii="Times New Roman" w:hAnsi="Times New Roman"/>
                <w:lang w:val="zh-CN"/>
              </w:rPr>
              <w:t xml:space="preserve"> /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/>
                <w:b/>
                <w:bCs/>
              </w:rPr>
              <w:instrText xml:space="preserve">NUMPAGES</w:instrTex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/>
                <w:b/>
                <w:bCs/>
              </w:rPr>
              <w:t>1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bordersDoNotSurroundHeader w:val="true"/>
  <w:bordersDoNotSurroundFooter w:val="true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4DDB"/>
    <w:rsid w:val="00024D34"/>
    <w:rsid w:val="00087EC9"/>
    <w:rsid w:val="000C24C9"/>
    <w:rsid w:val="001B7C03"/>
    <w:rsid w:val="001C04FD"/>
    <w:rsid w:val="00210654"/>
    <w:rsid w:val="00225982"/>
    <w:rsid w:val="002B473E"/>
    <w:rsid w:val="002C6AAF"/>
    <w:rsid w:val="003210D9"/>
    <w:rsid w:val="0037077E"/>
    <w:rsid w:val="003726A6"/>
    <w:rsid w:val="0037557C"/>
    <w:rsid w:val="00390446"/>
    <w:rsid w:val="00397DD4"/>
    <w:rsid w:val="004138DD"/>
    <w:rsid w:val="00415124"/>
    <w:rsid w:val="00466E01"/>
    <w:rsid w:val="004B2544"/>
    <w:rsid w:val="004D49C5"/>
    <w:rsid w:val="004D701F"/>
    <w:rsid w:val="00544C80"/>
    <w:rsid w:val="0055103E"/>
    <w:rsid w:val="00573DF3"/>
    <w:rsid w:val="005804FF"/>
    <w:rsid w:val="005F50AC"/>
    <w:rsid w:val="0063661B"/>
    <w:rsid w:val="00665FA5"/>
    <w:rsid w:val="006802BC"/>
    <w:rsid w:val="006A0B29"/>
    <w:rsid w:val="006A21C2"/>
    <w:rsid w:val="00732255"/>
    <w:rsid w:val="00784B26"/>
    <w:rsid w:val="00793162"/>
    <w:rsid w:val="007D7395"/>
    <w:rsid w:val="0080236A"/>
    <w:rsid w:val="00807695"/>
    <w:rsid w:val="00852F61"/>
    <w:rsid w:val="008B5D4D"/>
    <w:rsid w:val="00936AE6"/>
    <w:rsid w:val="0094431D"/>
    <w:rsid w:val="00981757"/>
    <w:rsid w:val="009A00F8"/>
    <w:rsid w:val="009A5418"/>
    <w:rsid w:val="009C61AC"/>
    <w:rsid w:val="00A07CD0"/>
    <w:rsid w:val="00A17231"/>
    <w:rsid w:val="00A549E6"/>
    <w:rsid w:val="00A550C7"/>
    <w:rsid w:val="00A64A12"/>
    <w:rsid w:val="00AC6B40"/>
    <w:rsid w:val="00C22A58"/>
    <w:rsid w:val="00CB154E"/>
    <w:rsid w:val="00CB2B45"/>
    <w:rsid w:val="00CC7359"/>
    <w:rsid w:val="00CF1FC2"/>
    <w:rsid w:val="00D20F3E"/>
    <w:rsid w:val="00D40CBE"/>
    <w:rsid w:val="00D41FA4"/>
    <w:rsid w:val="00D80FA3"/>
    <w:rsid w:val="00DA3B12"/>
    <w:rsid w:val="00DA554D"/>
    <w:rsid w:val="00DC2597"/>
    <w:rsid w:val="00DF0AD6"/>
    <w:rsid w:val="00E5766A"/>
    <w:rsid w:val="00E60073"/>
    <w:rsid w:val="00E64DDB"/>
    <w:rsid w:val="00E8427E"/>
    <w:rsid w:val="00E97265"/>
    <w:rsid w:val="00EF56D1"/>
    <w:rsid w:val="00F23E2F"/>
    <w:rsid w:val="00F617A1"/>
    <w:rsid w:val="00F81F20"/>
    <w:rsid w:val="00F84FB2"/>
    <w:rsid w:val="00FF50A8"/>
    <w:rsid w:val="77BF29FF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qFormat="1" w:uiPriority="99" w:name="endnote reference"/>
    <w:lsdException w:qFormat="1"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endnote text"/>
    <w:basedOn w:val="1"/>
    <w:link w:val="10"/>
    <w:semiHidden/>
    <w:unhideWhenUsed/>
    <w:qFormat/>
    <w:uiPriority w:val="99"/>
    <w:pPr>
      <w:snapToGrid w:val="0"/>
      <w:jc w:val="left"/>
    </w:pPr>
  </w:style>
  <w:style w:type="paragraph" w:styleId="3">
    <w:name w:val="Balloon Text"/>
    <w:basedOn w:val="1"/>
    <w:link w:val="14"/>
    <w:semiHidden/>
    <w:unhideWhenUsed/>
    <w:qFormat/>
    <w:uiPriority w:val="99"/>
    <w:rPr>
      <w:sz w:val="18"/>
      <w:szCs w:val="18"/>
    </w:rPr>
  </w:style>
  <w:style w:type="paragraph" w:styleId="4">
    <w:name w:val="footer"/>
    <w:basedOn w:val="1"/>
    <w:link w:val="12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7">
    <w:name w:val="Table Grid"/>
    <w:basedOn w:val="6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endnote reference"/>
    <w:semiHidden/>
    <w:unhideWhenUsed/>
    <w:qFormat/>
    <w:uiPriority w:val="99"/>
    <w:rPr>
      <w:vertAlign w:val="superscript"/>
    </w:rPr>
  </w:style>
  <w:style w:type="character" w:customStyle="1" w:styleId="10">
    <w:name w:val="尾注文本 字符"/>
    <w:basedOn w:val="8"/>
    <w:link w:val="2"/>
    <w:semiHidden/>
    <w:qFormat/>
    <w:uiPriority w:val="99"/>
  </w:style>
  <w:style w:type="character" w:customStyle="1" w:styleId="11">
    <w:name w:val="页眉 字符"/>
    <w:link w:val="5"/>
    <w:qFormat/>
    <w:uiPriority w:val="99"/>
    <w:rPr>
      <w:sz w:val="18"/>
      <w:szCs w:val="18"/>
    </w:rPr>
  </w:style>
  <w:style w:type="character" w:customStyle="1" w:styleId="12">
    <w:name w:val="页脚 字符"/>
    <w:link w:val="4"/>
    <w:qFormat/>
    <w:uiPriority w:val="99"/>
    <w:rPr>
      <w:sz w:val="18"/>
      <w:szCs w:val="18"/>
    </w:rPr>
  </w:style>
  <w:style w:type="paragraph" w:styleId="13">
    <w:name w:val="List Paragraph"/>
    <w:basedOn w:val="1"/>
    <w:qFormat/>
    <w:uiPriority w:val="99"/>
    <w:pPr>
      <w:ind w:firstLine="420" w:firstLineChars="200"/>
    </w:pPr>
  </w:style>
  <w:style w:type="character" w:customStyle="1" w:styleId="14">
    <w:name w:val="批注框文本 字符"/>
    <w:basedOn w:val="8"/>
    <w:link w:val="3"/>
    <w:semiHidden/>
    <w:qFormat/>
    <w:uiPriority w:val="99"/>
    <w:rPr>
      <w:kern w:val="2"/>
      <w:sz w:val="18"/>
      <w:szCs w:val="18"/>
      <w:lang w:val="en-US"/>
    </w:rPr>
  </w:style>
  <w:style w:type="character" w:customStyle="1" w:styleId="15">
    <w:name w:val="content-right_8zs401"/>
    <w:basedOn w:val="8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110</Words>
  <Characters>631</Characters>
  <Lines>5</Lines>
  <Paragraphs>1</Paragraphs>
  <TotalTime>120</TotalTime>
  <ScaleCrop>false</ScaleCrop>
  <LinksUpToDate>false</LinksUpToDate>
  <CharactersWithSpaces>740</CharactersWithSpaces>
  <Application>WPS Office_11.8.2.9695_F1E327BC-269C-435d-A152-05C5408002CA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2020-02-14T17:37:00Z</dcterms:created>
  <dc:creator>Rui Ying Yuan</dc:creator>
  <cp:lastModifiedBy>oa</cp:lastModifiedBy>
  <dcterms:modified xsi:type="dcterms:W3CDTF">2022-07-15T11:15:58Z</dcterms:modified>
  <cp:revision>41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WS_TRACKING_ID">
    <vt:lpwstr>f456ee32-2511-476e-b6d3-df374f714fae</vt:lpwstr>
  </property>
  <property fmtid="{D5CDD505-2E9C-101B-9397-08002B2CF9AE}" pid="3" name="KSOProductBuildVer">
    <vt:lpwstr>2052-11.8.2.9695</vt:lpwstr>
  </property>
</Properties>
</file>