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sz w:val="24"/>
          <w:szCs w:val="24"/>
        </w:rPr>
      </w:pPr>
      <w:r>
        <w:rPr>
          <w:rFonts w:hint="eastAsia" w:ascii="黑体" w:hAnsi="黑体" w:eastAsia="黑体" w:cs="黑体"/>
          <w:b w:val="0"/>
          <w:bCs w:val="0"/>
          <w:sz w:val="36"/>
          <w:szCs w:val="36"/>
        </w:rPr>
        <w:t>经营者集中简易案件公示表</w:t>
      </w: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1809" w:type="dxa"/>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案件名称</w:t>
            </w:r>
          </w:p>
        </w:tc>
        <w:tc>
          <w:tcPr>
            <w:tcW w:w="6949" w:type="dxa"/>
            <w:gridSpan w:val="2"/>
            <w:vAlign w:val="top"/>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hint="eastAsia" w:ascii="Times New Roman" w:hAnsi="Times New Roman"/>
                <w:kern w:val="0"/>
                <w:sz w:val="24"/>
                <w:szCs w:val="24"/>
              </w:rPr>
              <w:t>H&amp;F Corporate Investors X有限公司与</w:t>
            </w:r>
            <w:r>
              <w:rPr>
                <w:rFonts w:ascii="Times New Roman" w:hAnsi="Times New Roman"/>
                <w:kern w:val="0"/>
                <w:sz w:val="24"/>
                <w:szCs w:val="24"/>
              </w:rPr>
              <w:t>璞米咨询集团控股有限公司收购赞德斯克有限公司股权案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交易概况</w:t>
            </w:r>
          </w:p>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（限200字内）</w:t>
            </w: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赞德斯克有限公司（“</w:t>
            </w:r>
            <w:r>
              <w:rPr>
                <w:rFonts w:ascii="Times New Roman" w:hAnsi="Times New Roman"/>
                <w:b/>
                <w:bCs/>
                <w:kern w:val="0"/>
                <w:sz w:val="24"/>
                <w:szCs w:val="24"/>
              </w:rPr>
              <w:t>目标公司</w:t>
            </w:r>
            <w:r>
              <w:rPr>
                <w:rFonts w:ascii="Times New Roman" w:hAnsi="Times New Roman"/>
                <w:kern w:val="0"/>
                <w:sz w:val="24"/>
                <w:szCs w:val="24"/>
              </w:rPr>
              <w:t>”）</w:t>
            </w:r>
            <w:r>
              <w:rPr>
                <w:rFonts w:hint="eastAsia" w:ascii="Times New Roman" w:hAnsi="Times New Roman"/>
                <w:kern w:val="0"/>
                <w:sz w:val="24"/>
                <w:szCs w:val="24"/>
              </w:rPr>
              <w:t>目前</w:t>
            </w:r>
            <w:r>
              <w:rPr>
                <w:rFonts w:ascii="Times New Roman" w:hAnsi="Times New Roman"/>
                <w:kern w:val="0"/>
                <w:sz w:val="24"/>
                <w:szCs w:val="24"/>
              </w:rPr>
              <w:t>是一家纽约证券交易所上市公司，股权分散，无最终控制人。通过本交易，</w:t>
            </w:r>
            <w:r>
              <w:rPr>
                <w:rFonts w:hint="eastAsia" w:ascii="Times New Roman" w:hAnsi="Times New Roman"/>
                <w:kern w:val="0"/>
                <w:sz w:val="24"/>
                <w:szCs w:val="24"/>
              </w:rPr>
              <w:t>H&amp;F Corporate Investors X有限公司</w:t>
            </w:r>
            <w:r>
              <w:rPr>
                <w:rFonts w:ascii="Times New Roman" w:hAnsi="Times New Roman"/>
                <w:kern w:val="0"/>
                <w:sz w:val="24"/>
                <w:szCs w:val="24"/>
              </w:rPr>
              <w:t>（“</w:t>
            </w:r>
            <w:r>
              <w:rPr>
                <w:rFonts w:ascii="Times New Roman" w:hAnsi="Times New Roman"/>
                <w:b/>
                <w:bCs/>
                <w:kern w:val="0"/>
                <w:sz w:val="24"/>
                <w:szCs w:val="24"/>
              </w:rPr>
              <w:t>H&amp;F</w:t>
            </w:r>
            <w:r>
              <w:rPr>
                <w:rFonts w:ascii="Times New Roman" w:hAnsi="Times New Roman"/>
                <w:kern w:val="0"/>
                <w:sz w:val="24"/>
                <w:szCs w:val="24"/>
              </w:rPr>
              <w:t>”）</w:t>
            </w:r>
            <w:r>
              <w:rPr>
                <w:rFonts w:hint="eastAsia" w:ascii="Times New Roman" w:hAnsi="Times New Roman"/>
                <w:kern w:val="0"/>
                <w:sz w:val="24"/>
                <w:szCs w:val="24"/>
              </w:rPr>
              <w:t>和</w:t>
            </w:r>
            <w:r>
              <w:rPr>
                <w:rFonts w:ascii="Times New Roman" w:hAnsi="Times New Roman"/>
                <w:kern w:val="0"/>
                <w:sz w:val="24"/>
                <w:szCs w:val="24"/>
              </w:rPr>
              <w:t>璞米咨询集团控股有限公司（“</w:t>
            </w:r>
            <w:r>
              <w:rPr>
                <w:rFonts w:ascii="Times New Roman" w:hAnsi="Times New Roman"/>
                <w:b/>
                <w:bCs/>
                <w:kern w:val="0"/>
                <w:sz w:val="24"/>
                <w:szCs w:val="24"/>
              </w:rPr>
              <w:t>PAGHL</w:t>
            </w:r>
            <w:r>
              <w:rPr>
                <w:rFonts w:ascii="Times New Roman" w:hAnsi="Times New Roman"/>
                <w:kern w:val="0"/>
                <w:sz w:val="24"/>
                <w:szCs w:val="24"/>
              </w:rPr>
              <w:t>”），以及其他</w:t>
            </w:r>
            <w:r>
              <w:rPr>
                <w:rFonts w:hint="eastAsia" w:ascii="Times New Roman" w:hAnsi="Times New Roman"/>
                <w:kern w:val="0"/>
                <w:sz w:val="24"/>
                <w:szCs w:val="24"/>
              </w:rPr>
              <w:t>非</w:t>
            </w:r>
            <w:r>
              <w:rPr>
                <w:rFonts w:ascii="Times New Roman" w:hAnsi="Times New Roman"/>
                <w:kern w:val="0"/>
                <w:sz w:val="24"/>
                <w:szCs w:val="24"/>
              </w:rPr>
              <w:t>控制权</w:t>
            </w:r>
            <w:r>
              <w:rPr>
                <w:rFonts w:hint="eastAsia" w:ascii="Times New Roman" w:hAnsi="Times New Roman"/>
                <w:kern w:val="0"/>
                <w:sz w:val="24"/>
                <w:szCs w:val="24"/>
              </w:rPr>
              <w:t>益</w:t>
            </w:r>
            <w:r>
              <w:rPr>
                <w:rFonts w:ascii="Times New Roman" w:hAnsi="Times New Roman"/>
                <w:kern w:val="0"/>
                <w:sz w:val="24"/>
                <w:szCs w:val="24"/>
              </w:rPr>
              <w:t>的投资者，将间接取得目标公</w:t>
            </w:r>
            <w:r>
              <w:rPr>
                <w:rFonts w:hint="eastAsia" w:ascii="Times New Roman" w:hAnsi="Times New Roman"/>
                <w:kern w:val="0"/>
                <w:sz w:val="24"/>
                <w:szCs w:val="24"/>
              </w:rPr>
              <w:t>司</w:t>
            </w:r>
            <w:r>
              <w:rPr>
                <w:rFonts w:ascii="Times New Roman" w:hAnsi="Times New Roman"/>
                <w:kern w:val="0"/>
                <w:sz w:val="24"/>
                <w:szCs w:val="24"/>
              </w:rPr>
              <w:t>100%的股权。</w:t>
            </w:r>
            <w:r>
              <w:rPr>
                <w:rFonts w:hint="eastAsia" w:ascii="Times New Roman" w:hAnsi="Times New Roman"/>
                <w:kern w:val="0"/>
                <w:sz w:val="24"/>
                <w:szCs w:val="24"/>
              </w:rPr>
              <w:t>本</w:t>
            </w:r>
            <w:r>
              <w:rPr>
                <w:rFonts w:ascii="Times New Roman" w:hAnsi="Times New Roman"/>
                <w:kern w:val="0"/>
                <w:sz w:val="24"/>
                <w:szCs w:val="24"/>
              </w:rPr>
              <w:t>交易完成后，</w:t>
            </w:r>
            <w:r>
              <w:rPr>
                <w:rFonts w:hint="eastAsia" w:ascii="Times New Roman" w:hAnsi="Times New Roman"/>
                <w:kern w:val="0"/>
                <w:sz w:val="24"/>
                <w:szCs w:val="24"/>
              </w:rPr>
              <w:t>目标公司将被视为由</w:t>
            </w:r>
            <w:r>
              <w:rPr>
                <w:rFonts w:ascii="Times New Roman" w:hAnsi="Times New Roman"/>
                <w:sz w:val="24"/>
                <w:szCs w:val="24"/>
              </w:rPr>
              <w:t>Hellman &amp; Friedman LLC</w:t>
            </w:r>
            <w:r>
              <w:rPr>
                <w:rFonts w:hint="eastAsia" w:ascii="Times New Roman" w:hAnsi="Times New Roman"/>
                <w:sz w:val="24"/>
                <w:szCs w:val="24"/>
              </w:rPr>
              <w:t>和</w:t>
            </w:r>
            <w:r>
              <w:rPr>
                <w:rFonts w:ascii="Times New Roman" w:hAnsi="Times New Roman"/>
                <w:kern w:val="0"/>
                <w:sz w:val="24"/>
                <w:szCs w:val="24"/>
              </w:rPr>
              <w:t>璞米间接控制。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trPr>
        <w:tc>
          <w:tcPr>
            <w:tcW w:w="1809" w:type="dxa"/>
            <w:vMerge w:val="restart"/>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参与集中的</w:t>
            </w:r>
          </w:p>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经营者简介</w:t>
            </w:r>
          </w:p>
        </w:tc>
        <w:tc>
          <w:tcPr>
            <w:tcW w:w="1796" w:type="dxa"/>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1</w:t>
            </w:r>
            <w:r>
              <w:rPr>
                <w:rFonts w:hint="eastAsia" w:ascii="Times New Roman" w:hAnsi="Times New Roman"/>
                <w:kern w:val="0"/>
                <w:sz w:val="24"/>
                <w:szCs w:val="24"/>
              </w:rPr>
              <w:t>.</w:t>
            </w:r>
            <w:r>
              <w:rPr>
                <w:rFonts w:ascii="Times New Roman" w:hAnsi="Times New Roman"/>
                <w:kern w:val="0"/>
                <w:sz w:val="24"/>
                <w:szCs w:val="24"/>
              </w:rPr>
              <w:t xml:space="preserve"> </w:t>
            </w:r>
            <w:r>
              <w:rPr>
                <w:rFonts w:hint="eastAsia" w:ascii="Times New Roman" w:hAnsi="Times New Roman"/>
                <w:kern w:val="0"/>
                <w:sz w:val="24"/>
                <w:szCs w:val="24"/>
              </w:rPr>
              <w:t>H&amp;F Corporate Investors X有限公司</w:t>
            </w:r>
            <w:r>
              <w:rPr>
                <w:rFonts w:ascii="Times New Roman" w:hAnsi="Times New Roman"/>
                <w:kern w:val="0"/>
                <w:sz w:val="24"/>
                <w:szCs w:val="24"/>
              </w:rPr>
              <w:t>（</w:t>
            </w:r>
            <w:r>
              <w:rPr>
                <w:rFonts w:hint="eastAsia" w:ascii="Times New Roman" w:hAnsi="Times New Roman"/>
                <w:kern w:val="0"/>
                <w:sz w:val="24"/>
                <w:szCs w:val="24"/>
              </w:rPr>
              <w:t>即，</w:t>
            </w:r>
            <w:r>
              <w:rPr>
                <w:rFonts w:ascii="Times New Roman" w:hAnsi="Times New Roman"/>
                <w:kern w:val="0"/>
                <w:sz w:val="24"/>
                <w:szCs w:val="24"/>
              </w:rPr>
              <w:t>H&amp;F）</w:t>
            </w:r>
          </w:p>
        </w:tc>
        <w:tc>
          <w:tcPr>
            <w:tcW w:w="5153" w:type="dxa"/>
            <w:vAlign w:val="top"/>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H&amp;F于</w:t>
            </w:r>
            <w:r>
              <w:rPr>
                <w:rFonts w:hint="eastAsia" w:ascii="Times New Roman" w:hAnsi="Times New Roman"/>
                <w:sz w:val="24"/>
                <w:szCs w:val="24"/>
              </w:rPr>
              <w:t>2021年8月17日</w:t>
            </w:r>
            <w:r>
              <w:rPr>
                <w:rFonts w:ascii="Times New Roman" w:hAnsi="Times New Roman"/>
                <w:kern w:val="0"/>
                <w:sz w:val="24"/>
                <w:szCs w:val="24"/>
              </w:rPr>
              <w:t>成立于</w:t>
            </w:r>
            <w:r>
              <w:rPr>
                <w:rFonts w:hint="eastAsia" w:ascii="Times New Roman" w:hAnsi="Times New Roman"/>
                <w:sz w:val="24"/>
                <w:szCs w:val="24"/>
              </w:rPr>
              <w:t>开曼群岛</w:t>
            </w:r>
            <w:r>
              <w:rPr>
                <w:rFonts w:ascii="Times New Roman" w:hAnsi="Times New Roman"/>
                <w:sz w:val="24"/>
                <w:szCs w:val="24"/>
              </w:rPr>
              <w:t xml:space="preserve">, </w:t>
            </w:r>
            <w:r>
              <w:rPr>
                <w:rFonts w:hint="eastAsia" w:ascii="Times New Roman" w:hAnsi="Times New Roman"/>
                <w:sz w:val="24"/>
                <w:szCs w:val="24"/>
              </w:rPr>
              <w:t>并</w:t>
            </w:r>
            <w:r>
              <w:rPr>
                <w:rFonts w:ascii="Times New Roman" w:hAnsi="Times New Roman"/>
                <w:sz w:val="24"/>
                <w:szCs w:val="24"/>
              </w:rPr>
              <w:t>由Hellman &amp; Friedman LLC管理</w:t>
            </w:r>
            <w:r>
              <w:rPr>
                <w:rFonts w:hint="eastAsia" w:ascii="Times New Roman" w:hAnsi="Times New Roman"/>
                <w:sz w:val="24"/>
                <w:szCs w:val="24"/>
              </w:rPr>
              <w:t>，</w:t>
            </w:r>
            <w:r>
              <w:rPr>
                <w:rFonts w:ascii="Times New Roman" w:hAnsi="Times New Roman"/>
                <w:sz w:val="24"/>
                <w:szCs w:val="24"/>
              </w:rPr>
              <w:t>后者</w:t>
            </w:r>
            <w:r>
              <w:rPr>
                <w:rFonts w:ascii="Times New Roman" w:hAnsi="Times New Roman"/>
                <w:kern w:val="0"/>
                <w:sz w:val="24"/>
                <w:szCs w:val="24"/>
              </w:rPr>
              <w:t>为一家根据美国特拉华州法律成立的私募股权投资公司，在旧金山、纽约和伦敦设有办事处，专注于投资软件和技术、金融服务、医疗、消费和零售以及其他商业服务等行业，并成为被投资企业管理层的增值伙伴。</w:t>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sz w:val="24"/>
                <w:szCs w:val="24"/>
              </w:rPr>
              <w:t>Hellman &amp; Friedman LLC</w:t>
            </w:r>
            <w:r>
              <w:rPr>
                <w:rFonts w:ascii="Times New Roman" w:hAnsi="Times New Roman"/>
                <w:kern w:val="0"/>
                <w:sz w:val="24"/>
                <w:szCs w:val="24"/>
              </w:rPr>
              <w:t>目前不受任何个人或公司的最终控制，而是由</w:t>
            </w:r>
            <w:r>
              <w:rPr>
                <w:rFonts w:ascii="Times New Roman" w:hAnsi="Times New Roman"/>
                <w:sz w:val="24"/>
                <w:szCs w:val="24"/>
              </w:rPr>
              <w:t>Hellman &amp; Friedman LLC</w:t>
            </w:r>
            <w:r>
              <w:rPr>
                <w:rFonts w:ascii="Times New Roman" w:hAnsi="Times New Roman"/>
                <w:kern w:val="0"/>
                <w:sz w:val="24"/>
                <w:szCs w:val="24"/>
              </w:rPr>
              <w:t>合伙人所有。</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kern w:val="0"/>
                <w:sz w:val="24"/>
                <w:szCs w:val="24"/>
              </w:rPr>
            </w:pPr>
            <w:r>
              <w:rPr>
                <w:rFonts w:ascii="Times New Roman" w:hAnsi="Times New Roman"/>
                <w:kern w:val="0"/>
                <w:sz w:val="24"/>
                <w:szCs w:val="24"/>
              </w:rPr>
              <w:t>更多有关H&amp;F的信息，请见</w:t>
            </w:r>
            <w:r>
              <w:fldChar w:fldCharType="begin"/>
            </w:r>
            <w:r>
              <w:instrText xml:space="preserve"> HYPERLINK "https://www.hf.com/" </w:instrText>
            </w:r>
            <w:r>
              <w:fldChar w:fldCharType="separate"/>
            </w:r>
            <w:r>
              <w:rPr>
                <w:rStyle w:val="6"/>
                <w:rFonts w:ascii="Times New Roman" w:hAnsi="Times New Roman"/>
                <w:color w:val="auto"/>
                <w:kern w:val="0"/>
                <w:sz w:val="24"/>
                <w:szCs w:val="24"/>
              </w:rPr>
              <w:t>https://www.hf.com/</w:t>
            </w:r>
            <w:r>
              <w:rPr>
                <w:rStyle w:val="6"/>
                <w:rFonts w:ascii="Times New Roman" w:hAnsi="Times New Roman"/>
                <w:color w:val="auto"/>
                <w:kern w:val="0"/>
                <w:sz w:val="24"/>
                <w:szCs w:val="24"/>
              </w:rPr>
              <w:fldChar w:fldCharType="end"/>
            </w:r>
            <w:r>
              <w:rPr>
                <w:rFonts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1796" w:type="dxa"/>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2</w:t>
            </w:r>
            <w:r>
              <w:rPr>
                <w:rFonts w:hint="eastAsia" w:ascii="Times New Roman" w:hAnsi="Times New Roman"/>
                <w:kern w:val="0"/>
                <w:sz w:val="24"/>
                <w:szCs w:val="24"/>
              </w:rPr>
              <w:t>.</w:t>
            </w:r>
            <w:r>
              <w:rPr>
                <w:rFonts w:ascii="Times New Roman" w:hAnsi="Times New Roman"/>
                <w:kern w:val="0"/>
                <w:sz w:val="24"/>
                <w:szCs w:val="24"/>
              </w:rPr>
              <w:t xml:space="preserve"> 璞米咨询集团控股有限公司（</w:t>
            </w:r>
            <w:r>
              <w:rPr>
                <w:rFonts w:hint="eastAsia" w:ascii="Times New Roman" w:hAnsi="Times New Roman"/>
                <w:kern w:val="0"/>
                <w:sz w:val="24"/>
                <w:szCs w:val="24"/>
              </w:rPr>
              <w:t>即，</w:t>
            </w:r>
            <w:r>
              <w:rPr>
                <w:rFonts w:ascii="Times New Roman" w:hAnsi="Times New Roman"/>
                <w:kern w:val="0"/>
                <w:sz w:val="24"/>
                <w:szCs w:val="24"/>
              </w:rPr>
              <w:t>PAGHL）</w:t>
            </w:r>
          </w:p>
        </w:tc>
        <w:tc>
          <w:tcPr>
            <w:tcW w:w="5153" w:type="dxa"/>
          </w:tcPr>
          <w:p>
            <w:pPr>
              <w:keepNext w:val="0"/>
              <w:keepLines w:val="0"/>
              <w:pageBreakBefore w:val="0"/>
              <w:widowControl w:val="0"/>
              <w:kinsoku/>
              <w:wordWrap/>
              <w:overflowPunct/>
              <w:topLinePunct w:val="0"/>
              <w:autoSpaceDE/>
              <w:autoSpaceDN/>
              <w:bidi w:val="0"/>
              <w:adjustRightInd/>
              <w:snapToGrid/>
              <w:spacing w:after="120"/>
              <w:textAlignment w:val="auto"/>
              <w:rPr>
                <w:rFonts w:ascii="Times New Roman" w:hAnsi="Times New Roman"/>
                <w:kern w:val="0"/>
                <w:sz w:val="24"/>
                <w:szCs w:val="24"/>
              </w:rPr>
            </w:pPr>
            <w:r>
              <w:rPr>
                <w:rFonts w:ascii="Times New Roman" w:hAnsi="Times New Roman"/>
                <w:kern w:val="0"/>
                <w:sz w:val="24"/>
                <w:szCs w:val="24"/>
              </w:rPr>
              <w:t>PAGHL于2006年11月10日成立于根西岛。</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kern w:val="0"/>
                <w:sz w:val="24"/>
                <w:szCs w:val="24"/>
              </w:rPr>
            </w:pPr>
            <w:r>
              <w:rPr>
                <w:rFonts w:ascii="Times New Roman" w:hAnsi="Times New Roman"/>
                <w:kern w:val="0"/>
                <w:sz w:val="24"/>
                <w:szCs w:val="24"/>
              </w:rPr>
              <w:t>PAGHL的最终控制人是璞米控股有限公司（“</w:t>
            </w:r>
            <w:r>
              <w:rPr>
                <w:rFonts w:ascii="Times New Roman" w:hAnsi="Times New Roman"/>
                <w:b/>
                <w:bCs/>
                <w:kern w:val="0"/>
                <w:sz w:val="24"/>
                <w:szCs w:val="24"/>
              </w:rPr>
              <w:t>璞米</w:t>
            </w:r>
            <w:r>
              <w:rPr>
                <w:rFonts w:ascii="Times New Roman" w:hAnsi="Times New Roman"/>
                <w:kern w:val="0"/>
                <w:sz w:val="24"/>
                <w:szCs w:val="24"/>
              </w:rPr>
              <w:t>”）。璞米是一家私募股权公司，向多支投资基金提供投资管理服务。</w:t>
            </w:r>
            <w:r>
              <w:rPr>
                <w:rFonts w:hint="eastAsia" w:ascii="Times New Roman" w:hAnsi="Times New Roman"/>
                <w:kern w:val="0"/>
                <w:sz w:val="24"/>
                <w:szCs w:val="24"/>
              </w:rPr>
              <w:t>璞米控制多家投资组合公司，该等投资组合公司在众多司法辖区与行业开展业务。</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kern w:val="0"/>
                <w:sz w:val="24"/>
                <w:szCs w:val="24"/>
              </w:rPr>
            </w:pPr>
            <w:r>
              <w:rPr>
                <w:rFonts w:ascii="Times New Roman" w:hAnsi="Times New Roman"/>
                <w:kern w:val="0"/>
                <w:sz w:val="24"/>
                <w:szCs w:val="24"/>
              </w:rPr>
              <w:t>更多有关璞米的信息，请参见其网站</w:t>
            </w:r>
            <w:r>
              <w:fldChar w:fldCharType="begin"/>
            </w:r>
            <w:r>
              <w:instrText xml:space="preserve"> HYPERLINK "http://www.permira.com" </w:instrText>
            </w:r>
            <w:r>
              <w:fldChar w:fldCharType="separate"/>
            </w:r>
            <w:r>
              <w:rPr>
                <w:rStyle w:val="6"/>
                <w:rFonts w:ascii="Times New Roman" w:hAnsi="Times New Roman"/>
                <w:color w:val="auto"/>
                <w:kern w:val="0"/>
                <w:sz w:val="24"/>
                <w:szCs w:val="24"/>
              </w:rPr>
              <w:t>www.permira.com</w:t>
            </w:r>
            <w:r>
              <w:rPr>
                <w:rStyle w:val="6"/>
                <w:rFonts w:ascii="Times New Roman" w:hAnsi="Times New Roman"/>
                <w:color w:val="auto"/>
                <w:kern w:val="0"/>
                <w:sz w:val="24"/>
                <w:szCs w:val="24"/>
              </w:rPr>
              <w:fldChar w:fldCharType="end"/>
            </w:r>
            <w:r>
              <w:rPr>
                <w:rFonts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1796" w:type="dxa"/>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3、赞德斯克有限公司（</w:t>
            </w:r>
            <w:r>
              <w:rPr>
                <w:rFonts w:hint="eastAsia" w:ascii="Times New Roman" w:hAnsi="Times New Roman"/>
                <w:kern w:val="0"/>
                <w:sz w:val="24"/>
                <w:szCs w:val="24"/>
              </w:rPr>
              <w:t>即</w:t>
            </w:r>
            <w:r>
              <w:rPr>
                <w:rFonts w:ascii="Times New Roman" w:hAnsi="Times New Roman"/>
                <w:kern w:val="0"/>
                <w:sz w:val="24"/>
                <w:szCs w:val="24"/>
              </w:rPr>
              <w:t>目标公司，与PAGHL和H&amp;F统称为“</w:t>
            </w:r>
            <w:r>
              <w:rPr>
                <w:rFonts w:ascii="Times New Roman" w:hAnsi="Times New Roman"/>
                <w:b/>
                <w:bCs/>
                <w:kern w:val="0"/>
                <w:sz w:val="24"/>
                <w:szCs w:val="24"/>
              </w:rPr>
              <w:t>交易各方</w:t>
            </w:r>
            <w:r>
              <w:rPr>
                <w:rFonts w:ascii="Times New Roman" w:hAnsi="Times New Roman"/>
                <w:kern w:val="0"/>
                <w:sz w:val="24"/>
                <w:szCs w:val="24"/>
              </w:rPr>
              <w:t>”）</w:t>
            </w:r>
          </w:p>
        </w:tc>
        <w:tc>
          <w:tcPr>
            <w:tcW w:w="5153" w:type="dxa"/>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目标公司于2009年3月</w:t>
            </w:r>
            <w:r>
              <w:rPr>
                <w:rFonts w:hint="eastAsia" w:ascii="Times New Roman" w:hAnsi="Times New Roman"/>
                <w:kern w:val="0"/>
                <w:sz w:val="24"/>
                <w:szCs w:val="24"/>
              </w:rPr>
              <w:t>3日</w:t>
            </w:r>
            <w:r>
              <w:rPr>
                <w:rFonts w:ascii="Times New Roman" w:hAnsi="Times New Roman"/>
                <w:kern w:val="0"/>
                <w:sz w:val="24"/>
                <w:szCs w:val="24"/>
              </w:rPr>
              <w:t>成立于美国，目前</w:t>
            </w:r>
            <w:r>
              <w:rPr>
                <w:rFonts w:hint="eastAsia" w:ascii="Times New Roman" w:hAnsi="Times New Roman"/>
                <w:kern w:val="0"/>
                <w:sz w:val="24"/>
                <w:szCs w:val="24"/>
              </w:rPr>
              <w:t>为一家</w:t>
            </w:r>
            <w:r>
              <w:rPr>
                <w:rFonts w:ascii="Times New Roman" w:hAnsi="Times New Roman"/>
                <w:kern w:val="0"/>
                <w:sz w:val="24"/>
                <w:szCs w:val="24"/>
              </w:rPr>
              <w:t>纽约证券交易所上市</w:t>
            </w:r>
            <w:r>
              <w:rPr>
                <w:rFonts w:hint="eastAsia" w:ascii="Times New Roman" w:hAnsi="Times New Roman"/>
                <w:kern w:val="0"/>
                <w:sz w:val="24"/>
                <w:szCs w:val="24"/>
              </w:rPr>
              <w:t>公司</w:t>
            </w:r>
            <w:r>
              <w:rPr>
                <w:rFonts w:ascii="Times New Roman" w:hAnsi="Times New Roman"/>
                <w:kern w:val="0"/>
                <w:sz w:val="24"/>
                <w:szCs w:val="24"/>
              </w:rPr>
              <w:t>。目标公司提供“软件即服务”（即“software-as-a-service”）模式的客户关系管理（即“customer relationship management”，简称“</w:t>
            </w:r>
            <w:r>
              <w:rPr>
                <w:rFonts w:ascii="Times New Roman" w:hAnsi="Times New Roman"/>
                <w:b/>
                <w:bCs/>
                <w:kern w:val="0"/>
                <w:sz w:val="24"/>
                <w:szCs w:val="24"/>
              </w:rPr>
              <w:t>CRM</w:t>
            </w:r>
            <w:r>
              <w:rPr>
                <w:rFonts w:ascii="Times New Roman" w:hAnsi="Times New Roman"/>
                <w:kern w:val="0"/>
                <w:sz w:val="24"/>
                <w:szCs w:val="24"/>
              </w:rPr>
              <w:t>”）软件。赞德斯克提供的客户关系管理的软件解决方案旨在协调企业在其各项业务中与客户的交互，使企业能够在整个业务流程中与来自不同渠道的客户实现无缝互动。</w:t>
            </w:r>
            <w:r>
              <w:rPr>
                <w:rFonts w:hint="eastAsia" w:ascii="Times New Roman" w:hAnsi="Times New Roman"/>
                <w:kern w:val="0"/>
                <w:sz w:val="24"/>
                <w:szCs w:val="24"/>
              </w:rPr>
              <w:t xml:space="preserve"> </w:t>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目标公司是一家上市公司，股权分散</w:t>
            </w:r>
            <w:r>
              <w:rPr>
                <w:rFonts w:hint="eastAsia" w:ascii="Times New Roman" w:hAnsi="Times New Roman"/>
                <w:kern w:val="0"/>
                <w:sz w:val="24"/>
                <w:szCs w:val="24"/>
              </w:rPr>
              <w:t>，</w:t>
            </w:r>
            <w:r>
              <w:rPr>
                <w:rFonts w:ascii="Times New Roman" w:hAnsi="Times New Roman"/>
                <w:kern w:val="0"/>
                <w:sz w:val="24"/>
                <w:szCs w:val="24"/>
              </w:rPr>
              <w:t>无最终控制人。</w:t>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hint="eastAsia" w:ascii="Times New Roman" w:hAnsi="Times New Roman"/>
                <w:kern w:val="0"/>
                <w:sz w:val="24"/>
                <w:szCs w:val="24"/>
              </w:rPr>
              <w:t>更多有关</w:t>
            </w:r>
            <w:r>
              <w:rPr>
                <w:rFonts w:ascii="Times New Roman" w:hAnsi="Times New Roman"/>
                <w:kern w:val="0"/>
                <w:sz w:val="24"/>
                <w:szCs w:val="24"/>
              </w:rPr>
              <w:t>目标公司的信息，请参见其网站</w:t>
            </w:r>
            <w:r>
              <w:fldChar w:fldCharType="begin"/>
            </w:r>
            <w:r>
              <w:instrText xml:space="preserve"> HYPERLINK "https://www.zendesk.com/" </w:instrText>
            </w:r>
            <w:r>
              <w:fldChar w:fldCharType="separate"/>
            </w:r>
            <w:r>
              <w:rPr>
                <w:rStyle w:val="6"/>
                <w:rFonts w:ascii="Times New Roman" w:hAnsi="Times New Roman"/>
                <w:color w:val="auto"/>
                <w:kern w:val="0"/>
                <w:sz w:val="24"/>
                <w:szCs w:val="24"/>
              </w:rPr>
              <w:t>https://www.zendesk.com/</w:t>
            </w:r>
            <w:r>
              <w:rPr>
                <w:rStyle w:val="6"/>
                <w:rFonts w:ascii="Times New Roman" w:hAnsi="Times New Roman"/>
                <w:color w:val="auto"/>
                <w:kern w:val="0"/>
                <w:sz w:val="24"/>
                <w:szCs w:val="24"/>
              </w:rPr>
              <w:fldChar w:fldCharType="end"/>
            </w:r>
            <w:r>
              <w:rPr>
                <w:rFonts w:ascii="Times New Roman" w:hAnsi="Times New Roman"/>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简易案件理由（可以单选，也可以多选）</w:t>
            </w: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bCs/>
                <w:sz w:val="24"/>
                <w:szCs w:val="24"/>
              </w:rPr>
              <w:sym w:font="Wingdings" w:char="F0FE"/>
            </w:r>
            <w:r>
              <w:rPr>
                <w:rFonts w:ascii="Times New Roman" w:hAnsi="Times New Roman"/>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kern w:val="0"/>
                <w:sz w:val="24"/>
                <w:szCs w:val="24"/>
              </w:rPr>
            </w:pPr>
            <w:r>
              <w:rPr>
                <w:rFonts w:ascii="Times New Roman" w:hAnsi="Times New Roman"/>
                <w:kern w:val="0"/>
                <w:sz w:val="24"/>
                <w:szCs w:val="24"/>
              </w:rPr>
              <w:t>备注</w:t>
            </w:r>
          </w:p>
        </w:tc>
        <w:tc>
          <w:tcPr>
            <w:tcW w:w="6949" w:type="dxa"/>
            <w:gridSpan w:val="2"/>
          </w:tcPr>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b/>
                <w:bCs/>
                <w:kern w:val="0"/>
                <w:sz w:val="24"/>
                <w:szCs w:val="24"/>
              </w:rPr>
            </w:pPr>
            <w:r>
              <w:rPr>
                <w:rFonts w:ascii="Times New Roman" w:hAnsi="Times New Roman"/>
                <w:b/>
                <w:bCs/>
                <w:kern w:val="0"/>
                <w:sz w:val="24"/>
                <w:szCs w:val="24"/>
              </w:rPr>
              <w:t>横向重叠：</w:t>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2021年中国境内的客户关系管理软件</w:t>
            </w:r>
            <w:r>
              <w:rPr>
                <w:rFonts w:hint="eastAsia" w:ascii="Times New Roman" w:hAnsi="Times New Roman"/>
                <w:kern w:val="0"/>
                <w:sz w:val="24"/>
                <w:szCs w:val="24"/>
              </w:rPr>
              <w:t>（即</w:t>
            </w:r>
            <w:r>
              <w:rPr>
                <w:rFonts w:ascii="Times New Roman" w:hAnsi="Times New Roman"/>
                <w:kern w:val="0"/>
                <w:sz w:val="24"/>
                <w:szCs w:val="24"/>
              </w:rPr>
              <w:t>CRM</w:t>
            </w:r>
            <w:r>
              <w:rPr>
                <w:rFonts w:hint="eastAsia" w:ascii="Times New Roman" w:hAnsi="Times New Roman"/>
                <w:kern w:val="0"/>
                <w:sz w:val="24"/>
                <w:szCs w:val="24"/>
              </w:rPr>
              <w:t>软件）</w:t>
            </w:r>
            <w:r>
              <w:rPr>
                <w:rFonts w:ascii="Times New Roman" w:hAnsi="Times New Roman"/>
                <w:kern w:val="0"/>
                <w:sz w:val="24"/>
                <w:szCs w:val="24"/>
              </w:rPr>
              <w:t>市场</w:t>
            </w:r>
          </w:p>
          <w:p>
            <w:pPr>
              <w:pStyle w:val="10"/>
              <w:keepNext w:val="0"/>
              <w:keepLines w:val="0"/>
              <w:pageBreakBefore w:val="0"/>
              <w:widowControl w:val="0"/>
              <w:numPr>
                <w:ilvl w:val="0"/>
                <w:numId w:val="1"/>
              </w:numPr>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sz w:val="24"/>
                <w:szCs w:val="24"/>
              </w:rPr>
              <w:t>Hellman &amp; Friedman LLC</w:t>
            </w:r>
            <w:r>
              <w:rPr>
                <w:rFonts w:ascii="Times New Roman" w:hAnsi="Times New Roman"/>
                <w:kern w:val="0"/>
                <w:sz w:val="24"/>
                <w:szCs w:val="24"/>
              </w:rPr>
              <w:t>的市场份额：0-5%</w:t>
            </w:r>
          </w:p>
          <w:p>
            <w:pPr>
              <w:pStyle w:val="10"/>
              <w:keepNext w:val="0"/>
              <w:keepLines w:val="0"/>
              <w:pageBreakBefore w:val="0"/>
              <w:widowControl w:val="0"/>
              <w:numPr>
                <w:ilvl w:val="0"/>
                <w:numId w:val="1"/>
              </w:numPr>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璞米的市场份额：0-5%</w:t>
            </w:r>
            <w:bookmarkStart w:id="0" w:name="_GoBack"/>
            <w:bookmarkEnd w:id="0"/>
          </w:p>
          <w:p>
            <w:pPr>
              <w:pStyle w:val="10"/>
              <w:keepNext w:val="0"/>
              <w:keepLines w:val="0"/>
              <w:pageBreakBefore w:val="0"/>
              <w:widowControl w:val="0"/>
              <w:numPr>
                <w:ilvl w:val="0"/>
                <w:numId w:val="1"/>
              </w:numPr>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目标公司的市场份额：0-5%</w:t>
            </w:r>
          </w:p>
          <w:p>
            <w:pPr>
              <w:pStyle w:val="10"/>
              <w:keepNext w:val="0"/>
              <w:keepLines w:val="0"/>
              <w:pageBreakBefore w:val="0"/>
              <w:widowControl w:val="0"/>
              <w:numPr>
                <w:ilvl w:val="0"/>
                <w:numId w:val="1"/>
              </w:numPr>
              <w:kinsoku/>
              <w:wordWrap/>
              <w:overflowPunct/>
              <w:topLinePunct w:val="0"/>
              <w:autoSpaceDE/>
              <w:autoSpaceDN/>
              <w:bidi w:val="0"/>
              <w:adjustRightInd/>
              <w:snapToGrid/>
              <w:textAlignment w:val="auto"/>
              <w:rPr>
                <w:rFonts w:ascii="Times New Roman" w:hAnsi="Times New Roman"/>
                <w:kern w:val="0"/>
                <w:sz w:val="24"/>
                <w:szCs w:val="24"/>
              </w:rPr>
            </w:pPr>
            <w:r>
              <w:rPr>
                <w:rFonts w:ascii="Times New Roman" w:hAnsi="Times New Roman"/>
                <w:kern w:val="0"/>
                <w:sz w:val="24"/>
                <w:szCs w:val="24"/>
              </w:rPr>
              <w:t>交易各方合计的市场份额：0-5%</w:t>
            </w:r>
          </w:p>
        </w:tc>
      </w:tr>
    </w:tbl>
    <w:p>
      <w:pPr>
        <w:rPr>
          <w:rFonts w:ascii="Times New Roman" w:hAnsi="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Courier New">
    <w:altName w:val="DejaVu Sans"/>
    <w:panose1 w:val="02070309020205020404"/>
    <w:charset w:val="00"/>
    <w:family w:val="modern"/>
    <w:pitch w:val="default"/>
    <w:sig w:usb0="00000000" w:usb1="00000000" w:usb2="00000009" w:usb3="00000000" w:csb0="000001FF"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0E52E8"/>
    <w:multiLevelType w:val="multilevel"/>
    <w:tmpl w:val="720E52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0F10C1"/>
    <w:rsid w:val="00111DFF"/>
    <w:rsid w:val="001164CD"/>
    <w:rsid w:val="0012188D"/>
    <w:rsid w:val="00155717"/>
    <w:rsid w:val="001837A3"/>
    <w:rsid w:val="001A7B8C"/>
    <w:rsid w:val="001B57B0"/>
    <w:rsid w:val="00267614"/>
    <w:rsid w:val="002A05F1"/>
    <w:rsid w:val="003543DE"/>
    <w:rsid w:val="00392E32"/>
    <w:rsid w:val="003C0AEB"/>
    <w:rsid w:val="003C5410"/>
    <w:rsid w:val="00450063"/>
    <w:rsid w:val="00461743"/>
    <w:rsid w:val="004F6190"/>
    <w:rsid w:val="004F7688"/>
    <w:rsid w:val="005A1084"/>
    <w:rsid w:val="005A587A"/>
    <w:rsid w:val="005E1632"/>
    <w:rsid w:val="005E595E"/>
    <w:rsid w:val="0060361A"/>
    <w:rsid w:val="0060475D"/>
    <w:rsid w:val="00622E54"/>
    <w:rsid w:val="00636ED3"/>
    <w:rsid w:val="006467D8"/>
    <w:rsid w:val="00680F0C"/>
    <w:rsid w:val="0068118A"/>
    <w:rsid w:val="00685B51"/>
    <w:rsid w:val="00695EC4"/>
    <w:rsid w:val="006A531B"/>
    <w:rsid w:val="006F051B"/>
    <w:rsid w:val="006F058A"/>
    <w:rsid w:val="006F7693"/>
    <w:rsid w:val="00710140"/>
    <w:rsid w:val="007107E6"/>
    <w:rsid w:val="00761B8B"/>
    <w:rsid w:val="007D01A6"/>
    <w:rsid w:val="007F2275"/>
    <w:rsid w:val="008A2E83"/>
    <w:rsid w:val="00915F0F"/>
    <w:rsid w:val="00952452"/>
    <w:rsid w:val="009532DF"/>
    <w:rsid w:val="00997019"/>
    <w:rsid w:val="009A5029"/>
    <w:rsid w:val="009D38D5"/>
    <w:rsid w:val="00A07ED3"/>
    <w:rsid w:val="00A53F26"/>
    <w:rsid w:val="00A65BB7"/>
    <w:rsid w:val="00AA0CC5"/>
    <w:rsid w:val="00AB768A"/>
    <w:rsid w:val="00AE62E5"/>
    <w:rsid w:val="00B16AFE"/>
    <w:rsid w:val="00B362BB"/>
    <w:rsid w:val="00B45EEC"/>
    <w:rsid w:val="00B65DD5"/>
    <w:rsid w:val="00BC0C39"/>
    <w:rsid w:val="00BD10B6"/>
    <w:rsid w:val="00BF7A7F"/>
    <w:rsid w:val="00C07076"/>
    <w:rsid w:val="00C52323"/>
    <w:rsid w:val="00C85C80"/>
    <w:rsid w:val="00CB00DF"/>
    <w:rsid w:val="00CC4055"/>
    <w:rsid w:val="00CE0703"/>
    <w:rsid w:val="00CF0305"/>
    <w:rsid w:val="00CF2556"/>
    <w:rsid w:val="00D2435B"/>
    <w:rsid w:val="00D50B12"/>
    <w:rsid w:val="00D53444"/>
    <w:rsid w:val="00D73C72"/>
    <w:rsid w:val="00D8519A"/>
    <w:rsid w:val="00E01AA4"/>
    <w:rsid w:val="00E02A98"/>
    <w:rsid w:val="00E0592B"/>
    <w:rsid w:val="00E0688E"/>
    <w:rsid w:val="00E07AD5"/>
    <w:rsid w:val="00E149F7"/>
    <w:rsid w:val="00E31738"/>
    <w:rsid w:val="00E744ED"/>
    <w:rsid w:val="00E86786"/>
    <w:rsid w:val="00E87144"/>
    <w:rsid w:val="00E97AE2"/>
    <w:rsid w:val="00EC6DD4"/>
    <w:rsid w:val="00ED2F80"/>
    <w:rsid w:val="00F1624E"/>
    <w:rsid w:val="00F32F8A"/>
    <w:rsid w:val="00F810AA"/>
    <w:rsid w:val="00F84D1C"/>
    <w:rsid w:val="00FB43EC"/>
    <w:rsid w:val="00FB6B40"/>
    <w:rsid w:val="7F7FEA6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style>
  <w:style w:type="paragraph" w:styleId="3">
    <w:name w:val="header"/>
    <w:basedOn w:val="1"/>
    <w:link w:val="7"/>
    <w:unhideWhenUsed/>
    <w:qFormat/>
    <w:uiPriority w:val="99"/>
    <w:pPr>
      <w:tabs>
        <w:tab w:val="center" w:pos="4153"/>
        <w:tab w:val="right" w:pos="8306"/>
      </w:tabs>
    </w:p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页眉 字符"/>
    <w:basedOn w:val="5"/>
    <w:link w:val="3"/>
    <w:qFormat/>
    <w:uiPriority w:val="99"/>
    <w:rPr>
      <w:rFonts w:ascii="Calibri" w:hAnsi="Calibri" w:eastAsia="宋体" w:cs="Times New Roman"/>
    </w:rPr>
  </w:style>
  <w:style w:type="character" w:customStyle="1" w:styleId="8">
    <w:name w:val="页脚 字符"/>
    <w:basedOn w:val="5"/>
    <w:link w:val="2"/>
    <w:qFormat/>
    <w:uiPriority w:val="99"/>
    <w:rPr>
      <w:rFonts w:ascii="Calibri" w:hAnsi="Calibri" w:eastAsia="宋体" w:cs="Times New Roman"/>
    </w:rPr>
  </w:style>
  <w:style w:type="character" w:customStyle="1" w:styleId="9">
    <w:name w:val="Unresolved Mention"/>
    <w:basedOn w:val="5"/>
    <w:semiHidden/>
    <w:unhideWhenUsed/>
    <w:qFormat/>
    <w:uiPriority w:val="99"/>
    <w:rPr>
      <w:color w:val="605E5C"/>
      <w:shd w:val="clear" w:color="auto" w:fill="E1DFDD"/>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238</Words>
  <Characters>1357</Characters>
  <Lines>11</Lines>
  <Paragraphs>3</Paragraphs>
  <TotalTime>16</TotalTime>
  <ScaleCrop>false</ScaleCrop>
  <LinksUpToDate>false</LinksUpToDate>
  <CharactersWithSpaces>1592</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2022-07-18T18:07:00Z</dcterms:created>
  <dc:creator>oa</dc:creator>
  <cp:lastModifiedBy>oa</cp:lastModifiedBy>
  <dcterms:modified xsi:type="dcterms:W3CDTF">2022-07-21T11:46:10Z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