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2"/>
          <w:szCs w:val="30"/>
        </w:rPr>
      </w:pPr>
      <w:bookmarkStart w:id="0" w:name="_GoBack"/>
      <w:bookmarkEnd w:id="0"/>
      <w:r>
        <w:rPr>
          <w:rFonts w:hint="eastAsia" w:ascii="Times New Roman" w:hAnsi="Times New Roman"/>
          <w:b/>
          <w:bCs/>
          <w:sz w:val="22"/>
          <w:szCs w:val="30"/>
        </w:rPr>
        <w:t>经营者集中简易案件</w:t>
      </w:r>
    </w:p>
    <w:p>
      <w:pPr>
        <w:spacing w:line="440" w:lineRule="exact"/>
        <w:jc w:val="center"/>
        <w:rPr>
          <w:rFonts w:ascii="Times New Roman" w:hAnsi="Times New Roman"/>
          <w:b/>
          <w:bCs/>
          <w:sz w:val="22"/>
          <w:szCs w:val="30"/>
        </w:rPr>
      </w:pPr>
      <w:r>
        <w:rPr>
          <w:rFonts w:hint="eastAsia" w:ascii="Times New Roman" w:hAnsi="Times New Roman"/>
          <w:b/>
          <w:bCs/>
          <w:sz w:val="22"/>
          <w:szCs w:val="30"/>
        </w:rPr>
        <w:t>公示表</w:t>
      </w:r>
    </w:p>
    <w:p>
      <w:pPr>
        <w:spacing w:line="440" w:lineRule="exact"/>
        <w:jc w:val="center"/>
        <w:rPr>
          <w:rFonts w:ascii="Times New Roman" w:hAnsi="Times New Roman"/>
          <w:sz w:val="22"/>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2394"/>
        <w:gridCol w:w="4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9D9D9"/>
          </w:tcPr>
          <w:p>
            <w:pPr>
              <w:snapToGrid w:val="0"/>
              <w:spacing w:before="120" w:after="120"/>
              <w:rPr>
                <w:rFonts w:ascii="Times New Roman" w:hAnsi="Times New Roman"/>
                <w:b/>
                <w:bCs/>
                <w:sz w:val="22"/>
                <w:szCs w:val="28"/>
              </w:rPr>
            </w:pPr>
            <w:r>
              <w:rPr>
                <w:rFonts w:hint="eastAsia" w:ascii="Times New Roman" w:hAnsi="Times New Roman"/>
                <w:b/>
                <w:bCs/>
                <w:sz w:val="22"/>
                <w:szCs w:val="28"/>
              </w:rPr>
              <w:t>案件名称</w:t>
            </w: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t>离岸风电投资第一合营公司与离岸风电投资第二合营公司等经营者收购海鼎一国际投资股份有限公司等三家公司股权案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77" w:type="dxa"/>
            <w:shd w:val="clear" w:color="auto" w:fill="D9D9D9"/>
          </w:tcPr>
          <w:p>
            <w:pPr>
              <w:snapToGrid w:val="0"/>
              <w:spacing w:before="120" w:after="120"/>
              <w:rPr>
                <w:rFonts w:ascii="Times New Roman" w:hAnsi="Times New Roman"/>
                <w:b/>
                <w:bCs/>
                <w:sz w:val="22"/>
                <w:szCs w:val="28"/>
              </w:rPr>
            </w:pPr>
            <w:r>
              <w:rPr>
                <w:rFonts w:hint="eastAsia" w:ascii="Times New Roman" w:hAnsi="Times New Roman"/>
                <w:b/>
                <w:bCs/>
                <w:sz w:val="22"/>
                <w:szCs w:val="28"/>
              </w:rPr>
              <w:t>交易概况（限200字内）</w:t>
            </w: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t>离岸风电投资第一合营公司、离岸风电投资第二合营公司和离岸风电投资第三合营公司（合称“OSW”）拟分别购买巴登-符腾堡能源（“ENBW”）在各海鼎一国际投资股份有限公司、海鼎二国际投资股份有限公司、海鼎三国际投资股份有限公司（合称“海鼎”）持有的2</w:t>
            </w:r>
            <w:r>
              <w:rPr>
                <w:rFonts w:ascii="Times New Roman" w:hAnsi="Times New Roman"/>
                <w:sz w:val="22"/>
                <w:szCs w:val="28"/>
              </w:rPr>
              <w:t>5%</w:t>
            </w:r>
            <w:r>
              <w:rPr>
                <w:rFonts w:hint="eastAsia" w:ascii="Times New Roman" w:hAnsi="Times New Roman"/>
                <w:sz w:val="22"/>
                <w:szCs w:val="28"/>
              </w:rPr>
              <w:t>的股份。</w:t>
            </w:r>
          </w:p>
          <w:p>
            <w:pPr>
              <w:snapToGrid w:val="0"/>
              <w:spacing w:before="120" w:after="120"/>
              <w:rPr>
                <w:rFonts w:ascii="Times New Roman" w:hAnsi="Times New Roman"/>
                <w:sz w:val="22"/>
                <w:szCs w:val="28"/>
              </w:rPr>
            </w:pPr>
            <w:r>
              <w:rPr>
                <w:rFonts w:hint="eastAsia" w:ascii="Times New Roman" w:hAnsi="Times New Roman"/>
                <w:sz w:val="22"/>
                <w:szCs w:val="28"/>
              </w:rPr>
              <w:t>交易前，海鼎由OSW、JERA有限公司（“JERA”）和ENBW共同控制，各方分别在海鼎持有3</w:t>
            </w:r>
            <w:r>
              <w:rPr>
                <w:rFonts w:ascii="Times New Roman" w:hAnsi="Times New Roman"/>
                <w:sz w:val="22"/>
                <w:szCs w:val="28"/>
              </w:rPr>
              <w:t>1.25%</w:t>
            </w:r>
            <w:r>
              <w:rPr>
                <w:rFonts w:hint="eastAsia" w:ascii="Times New Roman" w:hAnsi="Times New Roman"/>
                <w:sz w:val="22"/>
                <w:szCs w:val="28"/>
              </w:rPr>
              <w:t>，</w:t>
            </w:r>
            <w:r>
              <w:rPr>
                <w:rFonts w:ascii="Times New Roman" w:hAnsi="Times New Roman"/>
                <w:sz w:val="22"/>
                <w:szCs w:val="28"/>
              </w:rPr>
              <w:t>43.75%</w:t>
            </w:r>
            <w:r>
              <w:rPr>
                <w:rFonts w:hint="eastAsia" w:ascii="Times New Roman" w:hAnsi="Times New Roman"/>
                <w:sz w:val="22"/>
                <w:szCs w:val="28"/>
              </w:rPr>
              <w:t>和2</w:t>
            </w:r>
            <w:r>
              <w:rPr>
                <w:rFonts w:ascii="Times New Roman" w:hAnsi="Times New Roman"/>
                <w:sz w:val="22"/>
                <w:szCs w:val="28"/>
              </w:rPr>
              <w:t>5%</w:t>
            </w:r>
            <w:r>
              <w:rPr>
                <w:rFonts w:hint="eastAsia" w:ascii="Times New Roman" w:hAnsi="Times New Roman"/>
                <w:sz w:val="22"/>
                <w:szCs w:val="28"/>
              </w:rPr>
              <w:t>股权；交易后，海鼎将由OSW和JERA共同控制，双方分别持有5</w:t>
            </w:r>
            <w:r>
              <w:rPr>
                <w:rFonts w:ascii="Times New Roman" w:hAnsi="Times New Roman"/>
                <w:sz w:val="22"/>
                <w:szCs w:val="28"/>
              </w:rPr>
              <w:t>6.25%</w:t>
            </w:r>
            <w:r>
              <w:rPr>
                <w:rFonts w:hint="eastAsia" w:ascii="Times New Roman" w:hAnsi="Times New Roman"/>
                <w:sz w:val="22"/>
                <w:szCs w:val="28"/>
              </w:rPr>
              <w:t>和4</w:t>
            </w:r>
            <w:r>
              <w:rPr>
                <w:rFonts w:ascii="Times New Roman" w:hAnsi="Times New Roman"/>
                <w:sz w:val="22"/>
                <w:szCs w:val="28"/>
              </w:rPr>
              <w:t>3.75%</w:t>
            </w:r>
            <w:r>
              <w:rPr>
                <w:rFonts w:hint="eastAsia" w:ascii="Times New Roman" w:hAnsi="Times New Roman"/>
                <w:sz w:val="22"/>
                <w:szCs w:val="28"/>
              </w:rPr>
              <w:t>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77" w:type="dxa"/>
            <w:vMerge w:val="restart"/>
            <w:shd w:val="clear" w:color="auto" w:fill="D9D9D9"/>
          </w:tcPr>
          <w:p>
            <w:pPr>
              <w:snapToGrid w:val="0"/>
              <w:spacing w:before="120" w:after="120"/>
              <w:rPr>
                <w:rFonts w:ascii="Times New Roman" w:hAnsi="Times New Roman"/>
                <w:b/>
                <w:bCs/>
                <w:sz w:val="22"/>
                <w:szCs w:val="28"/>
              </w:rPr>
            </w:pPr>
            <w:r>
              <w:rPr>
                <w:rFonts w:hint="eastAsia" w:ascii="Times New Roman" w:hAnsi="Times New Roman"/>
                <w:b/>
                <w:bCs/>
                <w:sz w:val="22"/>
                <w:szCs w:val="28"/>
              </w:rPr>
              <w:t>参与集中的经营者简介</w:t>
            </w:r>
          </w:p>
        </w:tc>
        <w:tc>
          <w:tcPr>
            <w:tcW w:w="2394" w:type="dxa"/>
          </w:tcPr>
          <w:p>
            <w:pPr>
              <w:pStyle w:val="17"/>
              <w:numPr>
                <w:ilvl w:val="0"/>
                <w:numId w:val="1"/>
              </w:numPr>
              <w:snapToGrid w:val="0"/>
              <w:spacing w:before="120" w:after="120"/>
              <w:ind w:firstLineChars="0"/>
              <w:rPr>
                <w:rFonts w:ascii="Times New Roman" w:hAnsi="Times New Roman"/>
                <w:sz w:val="22"/>
                <w:szCs w:val="28"/>
                <w:lang w:val="en-GB"/>
              </w:rPr>
            </w:pPr>
            <w:r>
              <w:rPr>
                <w:rFonts w:hint="eastAsia" w:ascii="Times New Roman" w:hAnsi="Times New Roman"/>
                <w:sz w:val="22"/>
                <w:szCs w:val="28"/>
                <w:lang w:val="en-GB"/>
              </w:rPr>
              <w:t>O</w:t>
            </w:r>
            <w:r>
              <w:rPr>
                <w:rFonts w:ascii="Times New Roman" w:hAnsi="Times New Roman"/>
                <w:sz w:val="22"/>
                <w:szCs w:val="28"/>
                <w:lang w:val="en-GB"/>
              </w:rPr>
              <w:t>SW</w:t>
            </w:r>
          </w:p>
        </w:tc>
        <w:tc>
          <w:tcPr>
            <w:tcW w:w="4687" w:type="dxa"/>
          </w:tcPr>
          <w:p>
            <w:pPr>
              <w:snapToGrid w:val="0"/>
              <w:spacing w:before="120" w:after="120"/>
              <w:rPr>
                <w:rFonts w:ascii="Times New Roman" w:hAnsi="Times New Roman"/>
                <w:sz w:val="22"/>
                <w:szCs w:val="28"/>
              </w:rPr>
            </w:pPr>
            <w:r>
              <w:rPr>
                <w:rFonts w:hint="eastAsia" w:ascii="Times New Roman" w:hAnsi="Times New Roman"/>
                <w:sz w:val="22"/>
                <w:szCs w:val="28"/>
              </w:rPr>
              <w:t>OSW于2021年12月在英国注册成立，从事海上风电项目的发起、开发、管理及建设。</w:t>
            </w:r>
          </w:p>
          <w:p>
            <w:pPr>
              <w:snapToGrid w:val="0"/>
              <w:spacing w:before="120" w:after="120"/>
              <w:rPr>
                <w:rFonts w:ascii="Times New Roman" w:hAnsi="Times New Roman"/>
                <w:sz w:val="22"/>
                <w:szCs w:val="28"/>
              </w:rPr>
            </w:pPr>
            <w:r>
              <w:rPr>
                <w:rFonts w:hint="eastAsia" w:ascii="Times New Roman" w:hAnsi="Times New Roman"/>
                <w:sz w:val="22"/>
                <w:szCs w:val="28"/>
              </w:rPr>
              <w:t>OSW的最终控制人为麦格理集团有限公司（“麦格理”，是一家全球金融集团）及安大略省教师退休基金会委员会（“O</w:t>
            </w:r>
            <w:r>
              <w:rPr>
                <w:rFonts w:ascii="Times New Roman" w:hAnsi="Times New Roman"/>
                <w:sz w:val="22"/>
                <w:szCs w:val="28"/>
              </w:rPr>
              <w:t>TPP</w:t>
            </w:r>
            <w:r>
              <w:rPr>
                <w:rFonts w:hint="eastAsia" w:ascii="Times New Roman" w:hAnsi="Times New Roman"/>
                <w:sz w:val="22"/>
                <w:szCs w:val="28"/>
              </w:rPr>
              <w:t>”，代表加拿大安大略省在职和退休教师管理退休基金以及基金计划资产投资）。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677" w:type="dxa"/>
            <w:vMerge w:val="continue"/>
            <w:shd w:val="clear" w:color="auto" w:fill="D9D9D9"/>
          </w:tcPr>
          <w:p>
            <w:pPr>
              <w:snapToGrid w:val="0"/>
              <w:spacing w:before="120" w:after="120"/>
              <w:rPr>
                <w:rFonts w:ascii="Times New Roman" w:hAnsi="Times New Roman"/>
                <w:b/>
                <w:bCs/>
                <w:sz w:val="22"/>
                <w:szCs w:val="28"/>
              </w:rPr>
            </w:pPr>
          </w:p>
        </w:tc>
        <w:tc>
          <w:tcPr>
            <w:tcW w:w="2394" w:type="dxa"/>
          </w:tcPr>
          <w:p>
            <w:pPr>
              <w:pStyle w:val="17"/>
              <w:numPr>
                <w:ilvl w:val="0"/>
                <w:numId w:val="1"/>
              </w:numPr>
              <w:snapToGrid w:val="0"/>
              <w:spacing w:before="120" w:after="120"/>
              <w:ind w:firstLineChars="0"/>
              <w:rPr>
                <w:rFonts w:ascii="Times New Roman" w:hAnsi="Times New Roman"/>
                <w:sz w:val="22"/>
                <w:szCs w:val="28"/>
                <w:lang w:val="en-GB"/>
              </w:rPr>
            </w:pPr>
            <w:r>
              <w:rPr>
                <w:rFonts w:hint="eastAsia" w:ascii="Times New Roman" w:hAnsi="Times New Roman"/>
                <w:sz w:val="22"/>
                <w:szCs w:val="28"/>
                <w:lang w:val="en-GB"/>
              </w:rPr>
              <w:t>海鼎</w:t>
            </w:r>
          </w:p>
        </w:tc>
        <w:tc>
          <w:tcPr>
            <w:tcW w:w="4687" w:type="dxa"/>
          </w:tcPr>
          <w:p>
            <w:pPr>
              <w:snapToGrid w:val="0"/>
              <w:spacing w:before="120" w:after="120"/>
              <w:rPr>
                <w:rFonts w:ascii="Times New Roman" w:hAnsi="Times New Roman"/>
                <w:sz w:val="22"/>
                <w:lang w:val="en-GB"/>
              </w:rPr>
            </w:pPr>
            <w:r>
              <w:rPr>
                <w:rFonts w:hint="eastAsia" w:ascii="Times New Roman" w:hAnsi="Times New Roman"/>
                <w:sz w:val="22"/>
                <w:lang w:val="en-GB"/>
              </w:rPr>
              <w:t>海鼎于2</w:t>
            </w:r>
            <w:r>
              <w:rPr>
                <w:rFonts w:ascii="Times New Roman" w:hAnsi="Times New Roman"/>
                <w:sz w:val="22"/>
                <w:lang w:val="en-GB"/>
              </w:rPr>
              <w:t>017</w:t>
            </w:r>
            <w:r>
              <w:rPr>
                <w:rFonts w:hint="eastAsia" w:ascii="Times New Roman" w:hAnsi="Times New Roman"/>
                <w:sz w:val="22"/>
                <w:lang w:val="en-GB"/>
              </w:rPr>
              <w:t>年1</w:t>
            </w:r>
            <w:r>
              <w:rPr>
                <w:rFonts w:ascii="Times New Roman" w:hAnsi="Times New Roman"/>
                <w:sz w:val="22"/>
                <w:lang w:val="en-GB"/>
              </w:rPr>
              <w:t>2</w:t>
            </w:r>
            <w:r>
              <w:rPr>
                <w:rFonts w:hint="eastAsia" w:ascii="Times New Roman" w:hAnsi="Times New Roman"/>
                <w:sz w:val="22"/>
                <w:lang w:val="en-GB"/>
              </w:rPr>
              <w:t>月1</w:t>
            </w:r>
            <w:r>
              <w:rPr>
                <w:rFonts w:ascii="Times New Roman" w:hAnsi="Times New Roman"/>
                <w:sz w:val="22"/>
                <w:lang w:val="en-GB"/>
              </w:rPr>
              <w:t>8</w:t>
            </w:r>
            <w:r>
              <w:rPr>
                <w:rFonts w:hint="eastAsia" w:ascii="Times New Roman" w:hAnsi="Times New Roman"/>
                <w:sz w:val="22"/>
                <w:lang w:val="en-GB"/>
              </w:rPr>
              <w:t>日成立于中国台湾地区，从事海上风电项目的发起、开发、管理及建设。</w:t>
            </w:r>
          </w:p>
          <w:p>
            <w:pPr>
              <w:snapToGrid w:val="0"/>
              <w:spacing w:before="120" w:after="120"/>
              <w:rPr>
                <w:rFonts w:ascii="Times New Roman" w:hAnsi="Times New Roman"/>
                <w:sz w:val="22"/>
                <w:lang w:val="en-GB"/>
              </w:rPr>
            </w:pPr>
            <w:r>
              <w:rPr>
                <w:rFonts w:hint="eastAsia" w:ascii="Times New Roman" w:hAnsi="Times New Roman"/>
                <w:sz w:val="22"/>
                <w:lang w:val="en-GB"/>
              </w:rPr>
              <w:t>海鼎的最终控制人为OSW、JERA和ENBW。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677" w:type="dxa"/>
            <w:vMerge w:val="continue"/>
            <w:shd w:val="clear" w:color="auto" w:fill="D9D9D9"/>
          </w:tcPr>
          <w:p>
            <w:pPr>
              <w:snapToGrid w:val="0"/>
              <w:spacing w:before="120" w:after="120"/>
              <w:rPr>
                <w:rFonts w:ascii="Times New Roman" w:hAnsi="Times New Roman"/>
                <w:b/>
                <w:bCs/>
                <w:sz w:val="22"/>
                <w:szCs w:val="28"/>
              </w:rPr>
            </w:pPr>
          </w:p>
        </w:tc>
        <w:tc>
          <w:tcPr>
            <w:tcW w:w="2394" w:type="dxa"/>
          </w:tcPr>
          <w:p>
            <w:pPr>
              <w:pStyle w:val="17"/>
              <w:numPr>
                <w:ilvl w:val="0"/>
                <w:numId w:val="1"/>
              </w:numPr>
              <w:snapToGrid w:val="0"/>
              <w:spacing w:before="120" w:after="120"/>
              <w:ind w:firstLineChars="0"/>
              <w:rPr>
                <w:rFonts w:ascii="Times New Roman" w:hAnsi="Times New Roman"/>
                <w:sz w:val="22"/>
                <w:szCs w:val="28"/>
                <w:lang w:val="en-GB"/>
              </w:rPr>
            </w:pPr>
            <w:r>
              <w:rPr>
                <w:rFonts w:hint="eastAsia" w:ascii="Times New Roman" w:hAnsi="Times New Roman"/>
                <w:sz w:val="22"/>
                <w:szCs w:val="28"/>
                <w:lang w:val="en-GB"/>
              </w:rPr>
              <w:t>JERA</w:t>
            </w:r>
          </w:p>
        </w:tc>
        <w:tc>
          <w:tcPr>
            <w:tcW w:w="4687" w:type="dxa"/>
          </w:tcPr>
          <w:p>
            <w:pPr>
              <w:snapToGrid w:val="0"/>
              <w:spacing w:before="120" w:after="120"/>
              <w:rPr>
                <w:rFonts w:ascii="Times New Roman" w:hAnsi="Times New Roman"/>
                <w:sz w:val="22"/>
                <w:lang w:val="en-GB"/>
              </w:rPr>
            </w:pPr>
            <w:r>
              <w:rPr>
                <w:rFonts w:ascii="Times New Roman" w:hAnsi="Times New Roman"/>
                <w:sz w:val="22"/>
                <w:lang w:val="en-GB"/>
              </w:rPr>
              <w:t>2015</w:t>
            </w:r>
            <w:r>
              <w:rPr>
                <w:rFonts w:hint="eastAsia" w:ascii="Times New Roman" w:hAnsi="Times New Roman"/>
                <w:sz w:val="22"/>
                <w:lang w:val="en-GB"/>
              </w:rPr>
              <w:t>年4月3</w:t>
            </w:r>
            <w:r>
              <w:rPr>
                <w:rFonts w:ascii="Times New Roman" w:hAnsi="Times New Roman"/>
                <w:sz w:val="22"/>
                <w:lang w:val="en-GB"/>
              </w:rPr>
              <w:t>0</w:t>
            </w:r>
            <w:r>
              <w:rPr>
                <w:rFonts w:hint="eastAsia" w:ascii="Times New Roman" w:hAnsi="Times New Roman"/>
                <w:sz w:val="22"/>
                <w:lang w:val="en-GB"/>
              </w:rPr>
              <w:t>日，JERA于日本成立。JERA从事燃料、发电和能源基础设施业务。</w:t>
            </w:r>
          </w:p>
          <w:p>
            <w:pPr>
              <w:snapToGrid w:val="0"/>
              <w:spacing w:before="120" w:after="120"/>
              <w:rPr>
                <w:rFonts w:ascii="Times New Roman" w:hAnsi="Times New Roman"/>
                <w:sz w:val="22"/>
                <w:lang w:val="en-GB"/>
              </w:rPr>
            </w:pPr>
            <w:r>
              <w:rPr>
                <w:rFonts w:hint="eastAsia" w:ascii="Times New Roman" w:hAnsi="Times New Roman"/>
                <w:sz w:val="22"/>
                <w:lang w:val="en-GB"/>
              </w:rPr>
              <w:t>JERA的最终控制人为东京电力控股公司和日本中部电力公司，主要业务分别为核电业务、燃料和热力发电和电力、供气、储热经纪业务等。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677" w:type="dxa"/>
            <w:vMerge w:val="restart"/>
            <w:shd w:val="clear" w:color="auto" w:fill="D9D9D9"/>
          </w:tcPr>
          <w:p>
            <w:pPr>
              <w:snapToGrid w:val="0"/>
              <w:spacing w:before="120" w:after="120"/>
              <w:rPr>
                <w:rFonts w:ascii="Times New Roman" w:hAnsi="Times New Roman"/>
                <w:b/>
                <w:bCs/>
                <w:sz w:val="22"/>
                <w:szCs w:val="28"/>
              </w:rPr>
            </w:pPr>
            <w:r>
              <w:rPr>
                <w:rFonts w:hint="eastAsia" w:ascii="Times New Roman" w:hAnsi="Times New Roman"/>
                <w:b/>
                <w:bCs/>
                <w:sz w:val="22"/>
                <w:szCs w:val="28"/>
              </w:rPr>
              <w:t>简易案件理由（可以单选，也可以多选）</w:t>
            </w: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30"/>
              </w:rPr>
              <w:sym w:font="Wingdings" w:char="F0A8"/>
            </w:r>
            <w:r>
              <w:rPr>
                <w:rFonts w:hint="eastAsia" w:ascii="Times New Roman" w:hAnsi="Times New Roman"/>
                <w:sz w:val="22"/>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77" w:type="dxa"/>
            <w:vMerge w:val="continue"/>
            <w:shd w:val="clear" w:color="auto" w:fill="D9D9D9"/>
          </w:tcPr>
          <w:p>
            <w:pPr>
              <w:snapToGrid w:val="0"/>
              <w:spacing w:before="120" w:after="120"/>
              <w:rPr>
                <w:rFonts w:ascii="Times New Roman" w:hAnsi="Times New Roman"/>
                <w:sz w:val="22"/>
                <w:szCs w:val="28"/>
              </w:rPr>
            </w:pP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30"/>
              </w:rPr>
              <w:sym w:font="Wingdings" w:char="F0A8"/>
            </w:r>
            <w:r>
              <w:rPr>
                <w:rFonts w:hint="eastAsia" w:ascii="Times New Roman" w:hAnsi="Times New Roman"/>
                <w:sz w:val="22"/>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77" w:type="dxa"/>
            <w:vMerge w:val="continue"/>
            <w:shd w:val="clear" w:color="auto" w:fill="D9D9D9"/>
          </w:tcPr>
          <w:p>
            <w:pPr>
              <w:snapToGrid w:val="0"/>
              <w:spacing w:before="120" w:after="120"/>
              <w:rPr>
                <w:rFonts w:ascii="Times New Roman" w:hAnsi="Times New Roman"/>
                <w:sz w:val="22"/>
                <w:szCs w:val="28"/>
              </w:rPr>
            </w:pP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sym w:font="Wingdings" w:char="F0FE"/>
            </w:r>
            <w:r>
              <w:rPr>
                <w:rFonts w:hint="eastAsia" w:ascii="Times New Roman" w:hAnsi="Times New Roman"/>
                <w:sz w:val="22"/>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677" w:type="dxa"/>
            <w:vMerge w:val="continue"/>
            <w:shd w:val="clear" w:color="auto" w:fill="D9D9D9"/>
          </w:tcPr>
          <w:p>
            <w:pPr>
              <w:snapToGrid w:val="0"/>
              <w:spacing w:before="120" w:after="120"/>
              <w:rPr>
                <w:rFonts w:ascii="Times New Roman" w:hAnsi="Times New Roman"/>
                <w:sz w:val="22"/>
                <w:szCs w:val="28"/>
              </w:rPr>
            </w:pP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677" w:type="dxa"/>
            <w:vMerge w:val="continue"/>
            <w:shd w:val="clear" w:color="auto" w:fill="D9D9D9"/>
          </w:tcPr>
          <w:p>
            <w:pPr>
              <w:snapToGrid w:val="0"/>
              <w:spacing w:before="120" w:after="120"/>
              <w:rPr>
                <w:rFonts w:ascii="Times New Roman" w:hAnsi="Times New Roman"/>
                <w:sz w:val="22"/>
                <w:szCs w:val="28"/>
              </w:rPr>
            </w:pP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677" w:type="dxa"/>
            <w:vMerge w:val="continue"/>
            <w:shd w:val="clear" w:color="auto" w:fill="D9D9D9"/>
          </w:tcPr>
          <w:p>
            <w:pPr>
              <w:snapToGrid w:val="0"/>
              <w:spacing w:before="120" w:after="120"/>
              <w:rPr>
                <w:rFonts w:ascii="Times New Roman" w:hAnsi="Times New Roman"/>
                <w:sz w:val="22"/>
                <w:szCs w:val="28"/>
              </w:rPr>
            </w:pP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sym w:font="Wingdings" w:char="F0FE"/>
            </w:r>
            <w:r>
              <w:rPr>
                <w:rFonts w:hint="eastAsia" w:ascii="Times New Roman" w:hAnsi="Times New Roman"/>
                <w:sz w:val="22"/>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9D9D9"/>
          </w:tcPr>
          <w:p>
            <w:pPr>
              <w:snapToGrid w:val="0"/>
              <w:spacing w:before="120" w:after="120"/>
              <w:rPr>
                <w:rFonts w:ascii="Times New Roman" w:hAnsi="Times New Roman"/>
                <w:sz w:val="22"/>
                <w:szCs w:val="28"/>
              </w:rPr>
            </w:pPr>
            <w:r>
              <w:rPr>
                <w:rFonts w:hint="eastAsia" w:ascii="Times New Roman" w:hAnsi="Times New Roman"/>
                <w:sz w:val="22"/>
                <w:szCs w:val="28"/>
              </w:rPr>
              <w:t>备注</w:t>
            </w:r>
          </w:p>
        </w:tc>
        <w:tc>
          <w:tcPr>
            <w:tcW w:w="7081" w:type="dxa"/>
            <w:gridSpan w:val="2"/>
          </w:tcPr>
          <w:p>
            <w:pPr>
              <w:snapToGrid w:val="0"/>
              <w:spacing w:before="120" w:after="120"/>
              <w:rPr>
                <w:rFonts w:ascii="Times New Roman" w:hAnsi="Times New Roman"/>
                <w:sz w:val="22"/>
                <w:szCs w:val="28"/>
              </w:rPr>
            </w:pPr>
            <w:r>
              <w:rPr>
                <w:rFonts w:hint="eastAsia" w:ascii="Times New Roman" w:hAnsi="Times New Roman"/>
                <w:sz w:val="22"/>
                <w:szCs w:val="28"/>
              </w:rPr>
              <w:t>中国境内风力发电市场</w:t>
            </w:r>
          </w:p>
          <w:p>
            <w:pPr>
              <w:snapToGrid w:val="0"/>
              <w:spacing w:before="120" w:after="120"/>
              <w:rPr>
                <w:rFonts w:ascii="Times New Roman" w:hAnsi="Times New Roman"/>
                <w:sz w:val="22"/>
                <w:szCs w:val="28"/>
              </w:rPr>
            </w:pPr>
            <w:r>
              <w:rPr>
                <w:rFonts w:hint="eastAsia" w:ascii="Times New Roman" w:hAnsi="Times New Roman"/>
                <w:sz w:val="22"/>
                <w:szCs w:val="28"/>
              </w:rPr>
              <w:t xml:space="preserve">海鼎 </w:t>
            </w:r>
            <w:r>
              <w:rPr>
                <w:rFonts w:ascii="Times New Roman" w:hAnsi="Times New Roman"/>
                <w:sz w:val="22"/>
                <w:szCs w:val="28"/>
              </w:rPr>
              <w:t>[0-5%]</w:t>
            </w:r>
          </w:p>
        </w:tc>
      </w:tr>
    </w:tbl>
    <w:p>
      <w:pPr>
        <w:spacing w:line="360" w:lineRule="auto"/>
        <w:rPr>
          <w:rFonts w:ascii="Times New Roman" w:hAnsi="Times New Roman"/>
          <w:sz w:val="22"/>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PMingLiU">
    <w:altName w:val="Droid Sans Fallback"/>
    <w:panose1 w:val="02020300000000000000"/>
    <w:charset w:val="88"/>
    <w:family w:val="roman"/>
    <w:pitch w:val="default"/>
    <w:sig w:usb0="00000000" w:usb1="00000000" w:usb2="00000016" w:usb3="00000000" w:csb0="00100001"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536"/>
        <w:tab w:val="right" w:pos="9072"/>
        <w:tab w:val="clear" w:pos="4153"/>
        <w:tab w:val="clear" w:pos="8306"/>
      </w:tabs>
      <w:jc w:val="both"/>
      <w:rPr>
        <w:sz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B40A36"/>
    <w:multiLevelType w:val="multilevel"/>
    <w:tmpl w:val="61B40A3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true"/>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50DF9"/>
    <w:rsid w:val="00051DAF"/>
    <w:rsid w:val="00065E2D"/>
    <w:rsid w:val="00066E1C"/>
    <w:rsid w:val="0009145E"/>
    <w:rsid w:val="00094095"/>
    <w:rsid w:val="000953A7"/>
    <w:rsid w:val="000A02A2"/>
    <w:rsid w:val="000A3CA7"/>
    <w:rsid w:val="000A41DF"/>
    <w:rsid w:val="000C7BB3"/>
    <w:rsid w:val="000D5EBB"/>
    <w:rsid w:val="000E7FC9"/>
    <w:rsid w:val="00100831"/>
    <w:rsid w:val="00100B60"/>
    <w:rsid w:val="0011005F"/>
    <w:rsid w:val="001156DD"/>
    <w:rsid w:val="00140AB6"/>
    <w:rsid w:val="00143C4F"/>
    <w:rsid w:val="0015728A"/>
    <w:rsid w:val="0016064F"/>
    <w:rsid w:val="001A001B"/>
    <w:rsid w:val="001A670A"/>
    <w:rsid w:val="001B29B0"/>
    <w:rsid w:val="001C315C"/>
    <w:rsid w:val="001C59F2"/>
    <w:rsid w:val="001C67E6"/>
    <w:rsid w:val="001D4449"/>
    <w:rsid w:val="001D4ADD"/>
    <w:rsid w:val="001E0A66"/>
    <w:rsid w:val="001F52A3"/>
    <w:rsid w:val="0020313A"/>
    <w:rsid w:val="002158DC"/>
    <w:rsid w:val="00216CEF"/>
    <w:rsid w:val="00230312"/>
    <w:rsid w:val="0024071B"/>
    <w:rsid w:val="00244D10"/>
    <w:rsid w:val="00245776"/>
    <w:rsid w:val="00253F3E"/>
    <w:rsid w:val="00262658"/>
    <w:rsid w:val="002655A2"/>
    <w:rsid w:val="00275A4A"/>
    <w:rsid w:val="002A0309"/>
    <w:rsid w:val="002A410C"/>
    <w:rsid w:val="002B4E6B"/>
    <w:rsid w:val="002C1CD9"/>
    <w:rsid w:val="002E2C9F"/>
    <w:rsid w:val="002F2D60"/>
    <w:rsid w:val="00303DBF"/>
    <w:rsid w:val="0030471B"/>
    <w:rsid w:val="00307976"/>
    <w:rsid w:val="003145BC"/>
    <w:rsid w:val="00352877"/>
    <w:rsid w:val="00386653"/>
    <w:rsid w:val="003B72B2"/>
    <w:rsid w:val="003B7330"/>
    <w:rsid w:val="003C5C55"/>
    <w:rsid w:val="003D0FE2"/>
    <w:rsid w:val="003D7CD9"/>
    <w:rsid w:val="003F51E7"/>
    <w:rsid w:val="004030E1"/>
    <w:rsid w:val="00413A4D"/>
    <w:rsid w:val="00417374"/>
    <w:rsid w:val="00443A77"/>
    <w:rsid w:val="004446DA"/>
    <w:rsid w:val="00462174"/>
    <w:rsid w:val="0048349B"/>
    <w:rsid w:val="004A30CC"/>
    <w:rsid w:val="004B67E5"/>
    <w:rsid w:val="004C4DB5"/>
    <w:rsid w:val="004C4ED1"/>
    <w:rsid w:val="004C59F6"/>
    <w:rsid w:val="004C6CA1"/>
    <w:rsid w:val="004E47E1"/>
    <w:rsid w:val="00503AD6"/>
    <w:rsid w:val="0051189C"/>
    <w:rsid w:val="00540FD5"/>
    <w:rsid w:val="00544421"/>
    <w:rsid w:val="00552A4F"/>
    <w:rsid w:val="00567B5A"/>
    <w:rsid w:val="00576510"/>
    <w:rsid w:val="0058359C"/>
    <w:rsid w:val="0058465F"/>
    <w:rsid w:val="00585EEE"/>
    <w:rsid w:val="005C13F5"/>
    <w:rsid w:val="005C1DE0"/>
    <w:rsid w:val="005C25F5"/>
    <w:rsid w:val="005D735C"/>
    <w:rsid w:val="005F167B"/>
    <w:rsid w:val="00611433"/>
    <w:rsid w:val="00611551"/>
    <w:rsid w:val="00617B93"/>
    <w:rsid w:val="006300C0"/>
    <w:rsid w:val="006300E8"/>
    <w:rsid w:val="00652572"/>
    <w:rsid w:val="00664179"/>
    <w:rsid w:val="00667DFA"/>
    <w:rsid w:val="00681853"/>
    <w:rsid w:val="006A4F76"/>
    <w:rsid w:val="006A5728"/>
    <w:rsid w:val="006B16A1"/>
    <w:rsid w:val="006B2A0B"/>
    <w:rsid w:val="006E14AD"/>
    <w:rsid w:val="007044D3"/>
    <w:rsid w:val="00714C46"/>
    <w:rsid w:val="00721487"/>
    <w:rsid w:val="00731BB8"/>
    <w:rsid w:val="0074432D"/>
    <w:rsid w:val="00767C8A"/>
    <w:rsid w:val="007A25FF"/>
    <w:rsid w:val="007C7803"/>
    <w:rsid w:val="007D298E"/>
    <w:rsid w:val="007F4D29"/>
    <w:rsid w:val="0080386C"/>
    <w:rsid w:val="008224C3"/>
    <w:rsid w:val="00826BFB"/>
    <w:rsid w:val="00827300"/>
    <w:rsid w:val="00830313"/>
    <w:rsid w:val="0085237C"/>
    <w:rsid w:val="00890B7A"/>
    <w:rsid w:val="0089745C"/>
    <w:rsid w:val="008A4419"/>
    <w:rsid w:val="008C1C6C"/>
    <w:rsid w:val="008D0251"/>
    <w:rsid w:val="008E3B41"/>
    <w:rsid w:val="008E6608"/>
    <w:rsid w:val="008F3171"/>
    <w:rsid w:val="008F634B"/>
    <w:rsid w:val="00915B58"/>
    <w:rsid w:val="00930521"/>
    <w:rsid w:val="00943D13"/>
    <w:rsid w:val="0095347A"/>
    <w:rsid w:val="00992397"/>
    <w:rsid w:val="00997957"/>
    <w:rsid w:val="009A7806"/>
    <w:rsid w:val="009C24F4"/>
    <w:rsid w:val="009C5ACB"/>
    <w:rsid w:val="009D130E"/>
    <w:rsid w:val="009E5C06"/>
    <w:rsid w:val="00A11188"/>
    <w:rsid w:val="00A1780E"/>
    <w:rsid w:val="00A253FD"/>
    <w:rsid w:val="00A339CA"/>
    <w:rsid w:val="00A4006B"/>
    <w:rsid w:val="00A43A3E"/>
    <w:rsid w:val="00A53D76"/>
    <w:rsid w:val="00A653C4"/>
    <w:rsid w:val="00A73524"/>
    <w:rsid w:val="00A77BD3"/>
    <w:rsid w:val="00A82B12"/>
    <w:rsid w:val="00AB23FA"/>
    <w:rsid w:val="00AD254C"/>
    <w:rsid w:val="00AE0F40"/>
    <w:rsid w:val="00B15DD8"/>
    <w:rsid w:val="00B17B1F"/>
    <w:rsid w:val="00B26738"/>
    <w:rsid w:val="00B41560"/>
    <w:rsid w:val="00B52154"/>
    <w:rsid w:val="00B60096"/>
    <w:rsid w:val="00B913F0"/>
    <w:rsid w:val="00BA0750"/>
    <w:rsid w:val="00BA12AF"/>
    <w:rsid w:val="00BA7437"/>
    <w:rsid w:val="00BB2377"/>
    <w:rsid w:val="00BD3D34"/>
    <w:rsid w:val="00BF1314"/>
    <w:rsid w:val="00BF690C"/>
    <w:rsid w:val="00C0269B"/>
    <w:rsid w:val="00C1448D"/>
    <w:rsid w:val="00C2454D"/>
    <w:rsid w:val="00C400CC"/>
    <w:rsid w:val="00C42F7D"/>
    <w:rsid w:val="00C56835"/>
    <w:rsid w:val="00C708A8"/>
    <w:rsid w:val="00C76979"/>
    <w:rsid w:val="00C823D6"/>
    <w:rsid w:val="00C82B65"/>
    <w:rsid w:val="00C9068E"/>
    <w:rsid w:val="00CA1EC9"/>
    <w:rsid w:val="00CA3D87"/>
    <w:rsid w:val="00CB611D"/>
    <w:rsid w:val="00CF49FF"/>
    <w:rsid w:val="00D001A9"/>
    <w:rsid w:val="00D21777"/>
    <w:rsid w:val="00D36E45"/>
    <w:rsid w:val="00D451A4"/>
    <w:rsid w:val="00D515E7"/>
    <w:rsid w:val="00D54E80"/>
    <w:rsid w:val="00D62CD9"/>
    <w:rsid w:val="00D81066"/>
    <w:rsid w:val="00D85B85"/>
    <w:rsid w:val="00D86874"/>
    <w:rsid w:val="00DB4FFD"/>
    <w:rsid w:val="00DC1A41"/>
    <w:rsid w:val="00DF3F21"/>
    <w:rsid w:val="00DF7E4E"/>
    <w:rsid w:val="00E01A79"/>
    <w:rsid w:val="00E11C0D"/>
    <w:rsid w:val="00E2619D"/>
    <w:rsid w:val="00E32A0C"/>
    <w:rsid w:val="00E52B09"/>
    <w:rsid w:val="00E858C5"/>
    <w:rsid w:val="00E91332"/>
    <w:rsid w:val="00E94C57"/>
    <w:rsid w:val="00EB0EE6"/>
    <w:rsid w:val="00EB1CC4"/>
    <w:rsid w:val="00EB6C72"/>
    <w:rsid w:val="00ED21B1"/>
    <w:rsid w:val="00ED3C40"/>
    <w:rsid w:val="00EE12FF"/>
    <w:rsid w:val="00EE2784"/>
    <w:rsid w:val="00EF290C"/>
    <w:rsid w:val="00F07CDF"/>
    <w:rsid w:val="00F16269"/>
    <w:rsid w:val="00F41137"/>
    <w:rsid w:val="00F5086B"/>
    <w:rsid w:val="00F55662"/>
    <w:rsid w:val="00F87C1F"/>
    <w:rsid w:val="00FE4CAC"/>
    <w:rsid w:val="00FF6660"/>
    <w:rsid w:val="E679D5DF"/>
  </w:rsids>
  <m:mathPr>
    <m:mathFont m:val="Cambria Math"/>
    <m:brkBin m:val="before"/>
    <m:brkBinSub m:val="--"/>
    <m:smallFrac m:val="1"/>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2"/>
    <w:semiHidden/>
    <w:unhideWhenUsed/>
    <w:qFormat/>
    <w:uiPriority w:val="99"/>
    <w:pPr>
      <w:snapToGrid w:val="0"/>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8"/>
    <w:qFormat/>
    <w:uiPriority w:val="0"/>
    <w:pPr>
      <w:snapToGrid w:val="0"/>
      <w:jc w:val="left"/>
    </w:pPr>
    <w:rPr>
      <w:rFonts w:ascii="Times New Roman" w:hAnsi="Times New Roman" w:eastAsia="PMingLiU"/>
      <w:sz w:val="20"/>
      <w:szCs w:val="20"/>
      <w:lang w:eastAsia="zh-TW"/>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ndnote reference"/>
    <w:semiHidden/>
    <w:unhideWhenUsed/>
    <w:qFormat/>
    <w:uiPriority w:val="99"/>
    <w:rPr>
      <w:vertAlign w:val="superscript"/>
    </w:rPr>
  </w:style>
  <w:style w:type="character" w:styleId="11">
    <w:name w:val="footnote reference"/>
    <w:qFormat/>
    <w:uiPriority w:val="0"/>
    <w:rPr>
      <w:vertAlign w:val="superscript"/>
    </w:rPr>
  </w:style>
  <w:style w:type="character" w:customStyle="1" w:styleId="12">
    <w:name w:val="Endnote Text Char"/>
    <w:basedOn w:val="9"/>
    <w:link w:val="2"/>
    <w:semiHidden/>
    <w:qFormat/>
    <w:uiPriority w:val="99"/>
  </w:style>
  <w:style w:type="character" w:customStyle="1" w:styleId="13">
    <w:name w:val="Header Char"/>
    <w:link w:val="5"/>
    <w:qFormat/>
    <w:uiPriority w:val="99"/>
    <w:rPr>
      <w:sz w:val="18"/>
      <w:szCs w:val="18"/>
    </w:rPr>
  </w:style>
  <w:style w:type="character" w:customStyle="1" w:styleId="14">
    <w:name w:val="Footer Char"/>
    <w:link w:val="4"/>
    <w:qFormat/>
    <w:uiPriority w:val="99"/>
    <w:rPr>
      <w:sz w:val="18"/>
      <w:szCs w:val="18"/>
    </w:rPr>
  </w:style>
  <w:style w:type="character" w:customStyle="1" w:styleId="15">
    <w:name w:val="Balloon Text Char"/>
    <w:link w:val="3"/>
    <w:semiHidden/>
    <w:qFormat/>
    <w:uiPriority w:val="99"/>
    <w:rPr>
      <w:kern w:val="2"/>
      <w:sz w:val="18"/>
      <w:szCs w:val="18"/>
    </w:rPr>
  </w:style>
  <w:style w:type="paragraph" w:customStyle="1" w:styleId="16">
    <w:name w:val="列出段落1"/>
    <w:basedOn w:val="1"/>
    <w:qFormat/>
    <w:uiPriority w:val="34"/>
    <w:pPr>
      <w:ind w:firstLine="420" w:firstLineChars="200"/>
    </w:pPr>
  </w:style>
  <w:style w:type="paragraph" w:styleId="17">
    <w:name w:val="List Paragraph"/>
    <w:basedOn w:val="1"/>
    <w:qFormat/>
    <w:uiPriority w:val="34"/>
    <w:pPr>
      <w:ind w:firstLine="420" w:firstLineChars="200"/>
    </w:pPr>
  </w:style>
  <w:style w:type="character" w:customStyle="1" w:styleId="18">
    <w:name w:val="Footnote Text Char"/>
    <w:link w:val="6"/>
    <w:qFormat/>
    <w:uiPriority w:val="0"/>
    <w:rPr>
      <w:rFonts w:ascii="Times New Roman" w:hAnsi="Times New Roman" w:eastAsia="PMingLiU"/>
      <w:kern w:val="2"/>
      <w:lang w:eastAsia="zh-TW"/>
    </w:rPr>
  </w:style>
  <w:style w:type="character" w:customStyle="1" w:styleId="19">
    <w:name w:val="Body 1 Char"/>
    <w:link w:val="20"/>
    <w:qFormat/>
    <w:locked/>
    <w:uiPriority w:val="0"/>
    <w:rPr>
      <w:kern w:val="2"/>
      <w:szCs w:val="24"/>
    </w:rPr>
  </w:style>
  <w:style w:type="paragraph" w:customStyle="1" w:styleId="20">
    <w:name w:val="Body 1"/>
    <w:basedOn w:val="1"/>
    <w:link w:val="19"/>
    <w:qFormat/>
    <w:uiPriority w:val="0"/>
    <w:pPr>
      <w:spacing w:after="210"/>
    </w:pPr>
    <w:rPr>
      <w:sz w:val="20"/>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HSF">
  <a:themeElements>
    <a:clrScheme name="HSF Brand">
      <a:dk1>
        <a:sysClr val="windowText" lastClr="000000"/>
      </a:dk1>
      <a:lt1>
        <a:sysClr val="window" lastClr="FFFFFF"/>
      </a:lt1>
      <a:dk2>
        <a:srgbClr val="1C3E78"/>
      </a:dk2>
      <a:lt2>
        <a:srgbClr val="A4A6A8"/>
      </a:lt2>
      <a:accent1>
        <a:srgbClr val="1C3E78"/>
      </a:accent1>
      <a:accent2>
        <a:srgbClr val="40AAB8"/>
      </a:accent2>
      <a:accent3>
        <a:srgbClr val="FFC72C"/>
      </a:accent3>
      <a:accent4>
        <a:srgbClr val="A24381"/>
      </a:accent4>
      <a:accent5>
        <a:srgbClr val="235BA8"/>
      </a:accent5>
      <a:accent6>
        <a:srgbClr val="F65058"/>
      </a:accent6>
      <a:hlink>
        <a:srgbClr val="235BA8"/>
      </a:hlink>
      <a:folHlink>
        <a:srgbClr val="A4A6A8"/>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9525">
          <a:noFill/>
        </a:ln>
      </a:spPr>
      <a:bodyPr lIns="72000" tIns="72000" rIns="72000" bIns="72000"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a:noFill/>
        </a:ln>
      </a:spPr>
      <a:bodyPr wrap="square" lIns="72000" tIns="72000" rIns="72000" bIns="72000" rtlCol="0" anchor="t" anchorCtr="false">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Sinobridge</Company>
  <Pages>2</Pages>
  <Words>146</Words>
  <Characters>838</Characters>
  <Lines>6</Lines>
  <Paragraphs>1</Paragraphs>
  <TotalTime>6</TotalTime>
  <ScaleCrop>false</ScaleCrop>
  <LinksUpToDate>false</LinksUpToDate>
  <CharactersWithSpaces>983</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2022-08-08T09:48:00Z</dcterms:created>
  <dc:creator>dell</dc:creator>
  <cp:lastModifiedBy>greatwall</cp:lastModifiedBy>
  <cp:lastPrinted>2017-01-18T15:04:00Z</cp:lastPrinted>
  <dcterms:modified xsi:type="dcterms:W3CDTF">2022-08-08T19:51:28Z</dcterms:modified>
  <dc:title>经营者集中简易案件</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dFooter">
    <vt:lpwstr>True</vt:lpwstr>
  </property>
  <property fmtid="{D5CDD505-2E9C-101B-9397-08002B2CF9AE}" pid="3" name="FooterType">
    <vt:lpwstr>Doc ID and firm name</vt:lpwstr>
  </property>
  <property fmtid="{D5CDD505-2E9C-101B-9397-08002B2CF9AE}" pid="4" name="KSOProductBuildVer">
    <vt:lpwstr>2052-11.8.2.10458</vt:lpwstr>
  </property>
</Properties>
</file>