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黑体" w:hAnsi="黑体" w:eastAsia="黑体"/>
          <w:color w:val="000000" w:themeColor="text1"/>
          <w:sz w:val="36"/>
          <w:szCs w:val="36"/>
          <w14:textFill>
            <w14:solidFill>
              <w14:schemeClr w14:val="tx1"/>
            </w14:solidFill>
          </w14:textFill>
        </w:rPr>
      </w:pPr>
      <w:bookmarkStart w:id="0" w:name="_GoBack"/>
      <w:bookmarkEnd w:id="0"/>
      <w:r>
        <w:rPr>
          <w:rFonts w:ascii="黑体" w:hAnsi="黑体" w:eastAsia="黑体"/>
          <w:color w:val="000000" w:themeColor="text1"/>
          <w:sz w:val="36"/>
          <w:szCs w:val="36"/>
          <w14:textFill>
            <w14:solidFill>
              <w14:schemeClr w14:val="tx1"/>
            </w14:solidFill>
          </w14:textFill>
        </w:rPr>
        <w:t>经营者集中简易案件公示表</w:t>
      </w:r>
    </w:p>
    <w:p>
      <w:pPr>
        <w:rPr>
          <w:rFonts w:ascii="Times New Roman" w:hAnsi="Times New Roman"/>
          <w:color w:val="000000" w:themeColor="text1"/>
          <w:sz w:val="28"/>
          <w:szCs w:val="28"/>
          <w14:textFill>
            <w14:solidFill>
              <w14:schemeClr w14:val="tx1"/>
            </w14:solidFill>
          </w14:textFill>
        </w:rPr>
      </w:pPr>
    </w:p>
    <w:tbl>
      <w:tblPr>
        <w:tblStyle w:val="5"/>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adjustRightInd w:val="0"/>
              <w:snapToGrid w:val="0"/>
              <w:spacing w:before="120" w:after="120"/>
              <w:jc w:val="center"/>
              <w:rPr>
                <w:rFonts w:ascii="Times New Roman" w:hAnsi="Times New Roman"/>
                <w:b/>
                <w:bCs/>
                <w:color w:val="000000" w:themeColor="text1"/>
                <w:kern w:val="0"/>
                <w:sz w:val="24"/>
                <w:szCs w:val="24"/>
                <w14:textFill>
                  <w14:solidFill>
                    <w14:schemeClr w14:val="tx1"/>
                  </w14:solidFill>
                </w14:textFill>
              </w:rPr>
            </w:pPr>
            <w:r>
              <w:rPr>
                <w:rFonts w:ascii="Times New Roman" w:hAnsi="Times New Roman"/>
                <w:b/>
                <w:bCs/>
                <w:color w:val="000000" w:themeColor="text1"/>
                <w:kern w:val="0"/>
                <w:sz w:val="24"/>
                <w:szCs w:val="24"/>
                <w14:textFill>
                  <w14:solidFill>
                    <w14:schemeClr w14:val="tx1"/>
                  </w14:solidFill>
                </w14:textFill>
              </w:rPr>
              <w:t>案件名称</w:t>
            </w:r>
          </w:p>
        </w:tc>
        <w:tc>
          <w:tcPr>
            <w:tcW w:w="6949" w:type="dxa"/>
            <w:gridSpan w:val="2"/>
          </w:tcPr>
          <w:p>
            <w:pPr>
              <w:adjustRightInd w:val="0"/>
              <w:snapToGrid w:val="0"/>
              <w:spacing w:before="120" w:after="120"/>
              <w:rPr>
                <w:rFonts w:ascii="Times New Roman" w:hAnsi="Times New Roman"/>
                <w:color w:val="000000" w:themeColor="text1"/>
                <w:kern w:val="0"/>
                <w:sz w:val="24"/>
                <w:szCs w:val="24"/>
                <w14:textFill>
                  <w14:solidFill>
                    <w14:schemeClr w14:val="tx1"/>
                  </w14:solidFill>
                </w14:textFill>
              </w:rPr>
            </w:pPr>
            <w:r>
              <w:rPr>
                <w:rFonts w:hint="eastAsia" w:ascii="Times New Roman" w:hAnsi="Times New Roman"/>
                <w:color w:val="000000" w:themeColor="text1"/>
                <w:kern w:val="0"/>
                <w:sz w:val="24"/>
                <w:szCs w:val="24"/>
                <w14:textFill>
                  <w14:solidFill>
                    <w14:schemeClr w14:val="tx1"/>
                  </w14:solidFill>
                </w14:textFill>
              </w:rPr>
              <w:t>Platinum Ivy B 2018有限公司收购达盟集团股权案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809" w:type="dxa"/>
            <w:shd w:val="clear" w:color="auto" w:fill="D9D9D9"/>
            <w:vAlign w:val="center"/>
          </w:tcPr>
          <w:p>
            <w:pPr>
              <w:adjustRightInd w:val="0"/>
              <w:snapToGrid w:val="0"/>
              <w:spacing w:before="120" w:after="120"/>
              <w:jc w:val="center"/>
              <w:rPr>
                <w:rFonts w:ascii="Times New Roman" w:hAnsi="Times New Roman"/>
                <w:b/>
                <w:bCs/>
                <w:color w:val="000000" w:themeColor="text1"/>
                <w:kern w:val="0"/>
                <w:sz w:val="24"/>
                <w:szCs w:val="24"/>
                <w14:textFill>
                  <w14:solidFill>
                    <w14:schemeClr w14:val="tx1"/>
                  </w14:solidFill>
                </w14:textFill>
              </w:rPr>
            </w:pPr>
            <w:r>
              <w:rPr>
                <w:rFonts w:ascii="Times New Roman" w:hAnsi="Times New Roman"/>
                <w:b/>
                <w:bCs/>
                <w:color w:val="000000" w:themeColor="text1"/>
                <w:kern w:val="0"/>
                <w:sz w:val="24"/>
                <w:szCs w:val="24"/>
                <w14:textFill>
                  <w14:solidFill>
                    <w14:schemeClr w14:val="tx1"/>
                  </w14:solidFill>
                </w14:textFill>
              </w:rPr>
              <w:t>交易概况</w:t>
            </w:r>
          </w:p>
          <w:p>
            <w:pPr>
              <w:adjustRightInd w:val="0"/>
              <w:snapToGrid w:val="0"/>
              <w:spacing w:before="120" w:after="120"/>
              <w:jc w:val="center"/>
              <w:rPr>
                <w:rFonts w:ascii="Times New Roman" w:hAnsi="Times New Roman"/>
                <w:b/>
                <w:bCs/>
                <w:color w:val="000000" w:themeColor="text1"/>
                <w:kern w:val="0"/>
                <w:sz w:val="24"/>
                <w:szCs w:val="24"/>
                <w14:textFill>
                  <w14:solidFill>
                    <w14:schemeClr w14:val="tx1"/>
                  </w14:solidFill>
                </w14:textFill>
              </w:rPr>
            </w:pPr>
            <w:r>
              <w:rPr>
                <w:rFonts w:ascii="Times New Roman" w:hAnsi="Times New Roman"/>
                <w:b/>
                <w:bCs/>
                <w:color w:val="000000" w:themeColor="text1"/>
                <w:kern w:val="0"/>
                <w:sz w:val="24"/>
                <w:szCs w:val="24"/>
                <w14:textFill>
                  <w14:solidFill>
                    <w14:schemeClr w14:val="tx1"/>
                  </w14:solidFill>
                </w14:textFill>
              </w:rPr>
              <w:t>（限200字内）</w:t>
            </w:r>
          </w:p>
        </w:tc>
        <w:tc>
          <w:tcPr>
            <w:tcW w:w="6949" w:type="dxa"/>
            <w:gridSpan w:val="2"/>
            <w:vAlign w:val="center"/>
          </w:tcPr>
          <w:p>
            <w:pPr>
              <w:adjustRightInd w:val="0"/>
              <w:snapToGrid w:val="0"/>
              <w:spacing w:before="120" w:after="120"/>
              <w:rPr>
                <w:rFonts w:ascii="Times New Roman" w:hAnsi="Times New Roman"/>
                <w:color w:val="000000" w:themeColor="text1"/>
                <w:kern w:val="0"/>
                <w:sz w:val="24"/>
                <w:szCs w:val="24"/>
                <w14:textFill>
                  <w14:solidFill>
                    <w14:schemeClr w14:val="tx1"/>
                  </w14:solidFill>
                </w14:textFill>
              </w:rPr>
            </w:pPr>
            <w:r>
              <w:rPr>
                <w:rFonts w:hint="eastAsia" w:ascii="Times New Roman" w:hAnsi="Times New Roman"/>
                <w:color w:val="000000" w:themeColor="text1"/>
                <w:kern w:val="0"/>
                <w:sz w:val="24"/>
                <w:szCs w:val="24"/>
                <w14:textFill>
                  <w14:solidFill>
                    <w14:schemeClr w14:val="tx1"/>
                  </w14:solidFill>
                </w14:textFill>
              </w:rPr>
              <w:t>Platinum Ivy B 2018有限公司（“</w:t>
            </w:r>
            <w:r>
              <w:rPr>
                <w:rFonts w:ascii="Times New Roman" w:hAnsi="Times New Roman"/>
                <w:b/>
                <w:bCs/>
                <w:color w:val="000000" w:themeColor="text1"/>
                <w:kern w:val="0"/>
                <w:sz w:val="24"/>
                <w:szCs w:val="24"/>
                <w14:textFill>
                  <w14:solidFill>
                    <w14:schemeClr w14:val="tx1"/>
                  </w14:solidFill>
                </w14:textFill>
              </w:rPr>
              <w:t>Platinum Ivy</w:t>
            </w:r>
            <w:r>
              <w:rPr>
                <w:rFonts w:hint="eastAsia" w:ascii="Times New Roman" w:hAnsi="Times New Roman"/>
                <w:color w:val="000000" w:themeColor="text1"/>
                <w:kern w:val="0"/>
                <w:sz w:val="24"/>
                <w:szCs w:val="24"/>
                <w14:textFill>
                  <w14:solidFill>
                    <w14:schemeClr w14:val="tx1"/>
                  </w14:solidFill>
                </w14:textFill>
              </w:rPr>
              <w:t>”）拟</w:t>
            </w:r>
            <w:r>
              <w:rPr>
                <w:rFonts w:hint="eastAsia" w:ascii="Times New Roman" w:hAnsi="Times New Roman"/>
                <w:color w:val="000000" w:themeColor="text1"/>
                <w:sz w:val="24"/>
                <w:szCs w:val="24"/>
                <w14:textFill>
                  <w14:solidFill>
                    <w14:schemeClr w14:val="tx1"/>
                  </w14:solidFill>
                </w14:textFill>
              </w:rPr>
              <w:t>间接收购</w:t>
            </w:r>
            <w:r>
              <w:rPr>
                <w:rFonts w:hint="eastAsia" w:ascii="Times New Roman" w:hAnsi="Times New Roman"/>
                <w:color w:val="000000" w:themeColor="text1"/>
                <w:kern w:val="0"/>
                <w:sz w:val="24"/>
                <w:szCs w:val="24"/>
                <w14:textFill>
                  <w14:solidFill>
                    <w14:schemeClr w14:val="tx1"/>
                  </w14:solidFill>
                </w14:textFill>
              </w:rPr>
              <w:t>达盟集团5</w:t>
            </w:r>
            <w:r>
              <w:rPr>
                <w:rFonts w:ascii="Times New Roman" w:hAnsi="Times New Roman"/>
                <w:color w:val="000000" w:themeColor="text1"/>
                <w:kern w:val="0"/>
                <w:sz w:val="24"/>
                <w:szCs w:val="24"/>
                <w14:textFill>
                  <w14:solidFill>
                    <w14:schemeClr w14:val="tx1"/>
                  </w14:solidFill>
                </w14:textFill>
              </w:rPr>
              <w:t>0%</w:t>
            </w:r>
            <w:r>
              <w:rPr>
                <w:rFonts w:hint="eastAsia" w:ascii="Times New Roman" w:hAnsi="Times New Roman"/>
                <w:color w:val="000000" w:themeColor="text1"/>
                <w:kern w:val="0"/>
                <w:sz w:val="24"/>
                <w:szCs w:val="24"/>
                <w14:textFill>
                  <w14:solidFill>
                    <w14:schemeClr w14:val="tx1"/>
                  </w14:solidFill>
                </w14:textFill>
              </w:rPr>
              <w:t>（减</w:t>
            </w:r>
            <w:r>
              <w:rPr>
                <w:rFonts w:ascii="Times New Roman" w:hAnsi="Times New Roman"/>
                <w:color w:val="000000" w:themeColor="text1"/>
                <w:kern w:val="0"/>
                <w:sz w:val="24"/>
                <w:szCs w:val="24"/>
                <w14:textFill>
                  <w14:solidFill>
                    <w14:schemeClr w14:val="tx1"/>
                  </w14:solidFill>
                </w14:textFill>
              </w:rPr>
              <w:t>1</w:t>
            </w:r>
            <w:r>
              <w:rPr>
                <w:rFonts w:hint="eastAsia" w:ascii="Times New Roman" w:hAnsi="Times New Roman"/>
                <w:color w:val="000000" w:themeColor="text1"/>
                <w:kern w:val="0"/>
                <w:sz w:val="24"/>
                <w:szCs w:val="24"/>
                <w14:textFill>
                  <w14:solidFill>
                    <w14:schemeClr w14:val="tx1"/>
                  </w14:solidFill>
                </w14:textFill>
              </w:rPr>
              <w:t>股）的股权；</w:t>
            </w:r>
            <w:r>
              <w:rPr>
                <w:rFonts w:ascii="Times New Roman" w:hAnsi="Times New Roman"/>
                <w:color w:val="000000" w:themeColor="text1"/>
                <w:sz w:val="24"/>
                <w:szCs w:val="24"/>
                <w14:textFill>
                  <w14:solidFill>
                    <w14:schemeClr w14:val="tx1"/>
                  </w14:solidFill>
                </w14:textFill>
              </w:rPr>
              <w:t>熙维资本合伙企业</w:t>
            </w:r>
            <w:r>
              <w:rPr>
                <w:rFonts w:hint="eastAsia" w:ascii="Times New Roman" w:hAnsi="Times New Roman"/>
                <w:color w:val="000000" w:themeColor="text1"/>
                <w:sz w:val="24"/>
                <w:szCs w:val="24"/>
                <w14:textFill>
                  <w14:solidFill>
                    <w14:schemeClr w14:val="tx1"/>
                  </w14:solidFill>
                </w14:textFill>
              </w:rPr>
              <w:t>（“</w:t>
            </w:r>
            <w:r>
              <w:rPr>
                <w:rFonts w:ascii="Times New Roman" w:hAnsi="Times New Roman"/>
                <w:b/>
                <w:bCs/>
                <w:color w:val="000000" w:themeColor="text1"/>
                <w:sz w:val="24"/>
                <w:szCs w:val="24"/>
                <w14:textFill>
                  <w14:solidFill>
                    <w14:schemeClr w14:val="tx1"/>
                  </w14:solidFill>
                </w14:textFill>
              </w:rPr>
              <w:t>熙维</w:t>
            </w:r>
            <w:r>
              <w:rPr>
                <w:rFonts w:hint="eastAsia" w:ascii="Times New Roman" w:hAnsi="Times New Roman"/>
                <w:color w:val="000000" w:themeColor="text1"/>
                <w:sz w:val="24"/>
                <w:szCs w:val="24"/>
                <w14:textFill>
                  <w14:solidFill>
                    <w14:schemeClr w14:val="tx1"/>
                  </w14:solidFill>
                </w14:textFill>
              </w:rPr>
              <w:t>”</w:t>
            </w:r>
            <w:r>
              <w:rPr>
                <w:rFonts w:ascii="Times New Roman" w:hAnsi="Times New Roman"/>
                <w:color w:val="000000" w:themeColor="text1"/>
                <w:sz w:val="24"/>
                <w:szCs w:val="24"/>
                <w14:textFill>
                  <w14:solidFill>
                    <w14:schemeClr w14:val="tx1"/>
                  </w14:solidFill>
                </w14:textFill>
              </w:rPr>
              <w:t>）</w:t>
            </w:r>
            <w:r>
              <w:rPr>
                <w:rFonts w:hint="eastAsia" w:ascii="Times New Roman" w:hAnsi="Times New Roman"/>
                <w:color w:val="000000" w:themeColor="text1"/>
                <w:sz w:val="24"/>
                <w:szCs w:val="24"/>
                <w14:textFill>
                  <w14:solidFill>
                    <w14:schemeClr w14:val="tx1"/>
                  </w14:solidFill>
                </w14:textFill>
              </w:rPr>
              <w:t>控制的熙维战略机遇第二基金（“</w:t>
            </w:r>
            <w:r>
              <w:rPr>
                <w:rFonts w:hint="eastAsia" w:ascii="Times New Roman" w:hAnsi="Times New Roman"/>
                <w:b/>
                <w:bCs/>
                <w:color w:val="000000" w:themeColor="text1"/>
                <w:sz w:val="24"/>
                <w:szCs w:val="24"/>
                <w14:textFill>
                  <w14:solidFill>
                    <w14:schemeClr w14:val="tx1"/>
                  </w14:solidFill>
                </w14:textFill>
              </w:rPr>
              <w:t>第二基金</w:t>
            </w:r>
            <w:r>
              <w:rPr>
                <w:rFonts w:hint="eastAsia" w:ascii="Times New Roman" w:hAnsi="Times New Roman"/>
                <w:color w:val="000000" w:themeColor="text1"/>
                <w:sz w:val="24"/>
                <w:szCs w:val="24"/>
                <w14:textFill>
                  <w14:solidFill>
                    <w14:schemeClr w14:val="tx1"/>
                  </w14:solidFill>
                </w14:textFill>
              </w:rPr>
              <w:t>”）</w:t>
            </w:r>
            <w:r>
              <w:rPr>
                <w:rFonts w:hint="eastAsia" w:ascii="Times New Roman" w:hAnsi="Times New Roman"/>
                <w:color w:val="000000" w:themeColor="text1"/>
                <w:kern w:val="0"/>
                <w:sz w:val="24"/>
                <w:szCs w:val="24"/>
                <w14:textFill>
                  <w14:solidFill>
                    <w14:schemeClr w14:val="tx1"/>
                  </w14:solidFill>
                </w14:textFill>
              </w:rPr>
              <w:t>拟</w:t>
            </w:r>
            <w:r>
              <w:rPr>
                <w:rFonts w:hint="eastAsia" w:ascii="Times New Roman" w:hAnsi="Times New Roman"/>
                <w:color w:val="000000" w:themeColor="text1"/>
                <w:sz w:val="24"/>
                <w:szCs w:val="24"/>
                <w14:textFill>
                  <w14:solidFill>
                    <w14:schemeClr w14:val="tx1"/>
                  </w14:solidFill>
                </w14:textFill>
              </w:rPr>
              <w:t>间接收购</w:t>
            </w:r>
            <w:r>
              <w:rPr>
                <w:rFonts w:hint="eastAsia" w:ascii="Times New Roman" w:hAnsi="Times New Roman"/>
                <w:color w:val="000000" w:themeColor="text1"/>
                <w:kern w:val="0"/>
                <w:sz w:val="24"/>
                <w:szCs w:val="24"/>
                <w14:textFill>
                  <w14:solidFill>
                    <w14:schemeClr w14:val="tx1"/>
                  </w14:solidFill>
                </w14:textFill>
              </w:rPr>
              <w:t>达盟集团5</w:t>
            </w:r>
            <w:r>
              <w:rPr>
                <w:rFonts w:ascii="Times New Roman" w:hAnsi="Times New Roman"/>
                <w:color w:val="000000" w:themeColor="text1"/>
                <w:kern w:val="0"/>
                <w:sz w:val="24"/>
                <w:szCs w:val="24"/>
                <w14:textFill>
                  <w14:solidFill>
                    <w14:schemeClr w14:val="tx1"/>
                  </w14:solidFill>
                </w14:textFill>
              </w:rPr>
              <w:t>0%</w:t>
            </w:r>
            <w:r>
              <w:rPr>
                <w:rFonts w:hint="eastAsia" w:ascii="Times New Roman" w:hAnsi="Times New Roman"/>
                <w:color w:val="000000" w:themeColor="text1"/>
                <w:kern w:val="0"/>
                <w:sz w:val="24"/>
                <w:szCs w:val="24"/>
                <w14:textFill>
                  <w14:solidFill>
                    <w14:schemeClr w14:val="tx1"/>
                  </w14:solidFill>
                </w14:textFill>
              </w:rPr>
              <w:t>（加1股）的股权</w:t>
            </w:r>
            <w:r>
              <w:rPr>
                <w:rFonts w:ascii="Times New Roman" w:hAnsi="Times New Roman"/>
                <w:color w:val="000000" w:themeColor="text1"/>
                <w:kern w:val="0"/>
                <w:sz w:val="24"/>
                <w:szCs w:val="24"/>
                <w14:textFill>
                  <w14:solidFill>
                    <w14:schemeClr w14:val="tx1"/>
                  </w14:solidFill>
                </w14:textFill>
              </w:rPr>
              <w:t>。</w:t>
            </w:r>
            <w:r>
              <w:rPr>
                <w:rFonts w:hint="eastAsia" w:ascii="Times New Roman" w:hAnsi="Times New Roman"/>
                <w:color w:val="000000" w:themeColor="text1"/>
                <w:kern w:val="0"/>
                <w:sz w:val="24"/>
                <w:szCs w:val="24"/>
                <w14:textFill>
                  <w14:solidFill>
                    <w14:schemeClr w14:val="tx1"/>
                  </w14:solidFill>
                </w14:textFill>
              </w:rPr>
              <w:t>达盟集团的主要业务是</w:t>
            </w:r>
            <w:r>
              <w:rPr>
                <w:rFonts w:hint="eastAsia" w:ascii="Times New Roman" w:hAnsi="Times New Roman"/>
                <w:color w:val="000000" w:themeColor="text1"/>
                <w:sz w:val="24"/>
                <w:szCs w:val="24"/>
                <w14:textFill>
                  <w14:solidFill>
                    <w14:schemeClr w14:val="tx1"/>
                  </w14:solidFill>
                </w14:textFill>
              </w:rPr>
              <w:t>为跨国公司、金融机构、投资基金和高净值人士提供本地交付的外包商业合规服务。</w:t>
            </w:r>
            <w:r>
              <w:rPr>
                <w:rFonts w:hint="eastAsia" w:ascii="Times New Roman" w:hAnsi="Times New Roman"/>
                <w:color w:val="000000" w:themeColor="text1"/>
                <w:kern w:val="0"/>
                <w:sz w:val="24"/>
                <w:szCs w:val="24"/>
                <w14:textFill>
                  <w14:solidFill>
                    <w14:schemeClr w14:val="tx1"/>
                  </w14:solidFill>
                </w14:textFill>
              </w:rPr>
              <w:t>本交易前，</w:t>
            </w:r>
            <w:r>
              <w:rPr>
                <w:rFonts w:ascii="Times New Roman" w:hAnsi="Times New Roman"/>
                <w:color w:val="000000" w:themeColor="text1"/>
                <w:sz w:val="24"/>
                <w:szCs w:val="24"/>
                <w14:textFill>
                  <w14:solidFill>
                    <w14:schemeClr w14:val="tx1"/>
                  </w14:solidFill>
                </w14:textFill>
              </w:rPr>
              <w:t>熙维</w:t>
            </w:r>
            <w:r>
              <w:rPr>
                <w:rFonts w:hint="eastAsia" w:ascii="Times New Roman" w:hAnsi="Times New Roman"/>
                <w:color w:val="000000" w:themeColor="text1"/>
                <w:sz w:val="24"/>
                <w:szCs w:val="24"/>
                <w14:textFill>
                  <w14:solidFill>
                    <w14:schemeClr w14:val="tx1"/>
                  </w14:solidFill>
                </w14:textFill>
              </w:rPr>
              <w:t>通过</w:t>
            </w:r>
            <w:r>
              <w:rPr>
                <w:rFonts w:hint="eastAsia" w:ascii="Times New Roman" w:hAnsi="Times New Roman"/>
                <w:color w:val="000000" w:themeColor="text1"/>
                <w:kern w:val="0"/>
                <w:sz w:val="24"/>
                <w:szCs w:val="24"/>
                <w14:textFill>
                  <w14:solidFill>
                    <w14:schemeClr w14:val="tx1"/>
                  </w14:solidFill>
                </w14:textFill>
              </w:rPr>
              <w:t>熙维第七基金</w:t>
            </w:r>
            <w:r>
              <w:rPr>
                <w:rFonts w:hint="eastAsia" w:ascii="Times New Roman" w:hAnsi="Times New Roman"/>
                <w:color w:val="000000" w:themeColor="text1"/>
                <w:sz w:val="24"/>
                <w:szCs w:val="24"/>
                <w14:textFill>
                  <w14:solidFill>
                    <w14:schemeClr w14:val="tx1"/>
                  </w14:solidFill>
                </w14:textFill>
              </w:rPr>
              <w:t>间接</w:t>
            </w:r>
            <w:r>
              <w:rPr>
                <w:rFonts w:hint="eastAsia" w:ascii="Times New Roman" w:hAnsi="Times New Roman"/>
                <w:color w:val="000000" w:themeColor="text1"/>
                <w:kern w:val="0"/>
                <w:sz w:val="24"/>
                <w:szCs w:val="24"/>
                <w14:textFill>
                  <w14:solidFill>
                    <w14:schemeClr w14:val="tx1"/>
                  </w14:solidFill>
                </w14:textFill>
              </w:rPr>
              <w:t>持有达盟集团9</w:t>
            </w:r>
            <w:r>
              <w:rPr>
                <w:rFonts w:ascii="Times New Roman" w:hAnsi="Times New Roman"/>
                <w:color w:val="000000" w:themeColor="text1"/>
                <w:kern w:val="0"/>
                <w:sz w:val="24"/>
                <w:szCs w:val="24"/>
                <w14:textFill>
                  <w14:solidFill>
                    <w14:schemeClr w14:val="tx1"/>
                  </w14:solidFill>
                </w14:textFill>
              </w:rPr>
              <w:t>0.04%</w:t>
            </w:r>
            <w:r>
              <w:rPr>
                <w:rFonts w:hint="eastAsia" w:ascii="Times New Roman" w:hAnsi="Times New Roman"/>
                <w:color w:val="000000" w:themeColor="text1"/>
                <w:kern w:val="0"/>
                <w:sz w:val="24"/>
                <w:szCs w:val="24"/>
                <w14:textFill>
                  <w14:solidFill>
                    <w14:schemeClr w14:val="tx1"/>
                  </w14:solidFill>
                </w14:textFill>
              </w:rPr>
              <w:t>的股权，熙维单独控制达盟集团。本交易完成后，</w:t>
            </w:r>
            <w:r>
              <w:rPr>
                <w:rFonts w:hint="eastAsia" w:ascii="Times New Roman" w:hAnsi="Times New Roman"/>
                <w:color w:val="000000" w:themeColor="text1"/>
                <w:sz w:val="24"/>
                <w:szCs w:val="24"/>
                <w14:textFill>
                  <w14:solidFill>
                    <w14:schemeClr w14:val="tx1"/>
                  </w14:solidFill>
                </w14:textFill>
              </w:rPr>
              <w:t>熙维通过第二基金</w:t>
            </w:r>
            <w:r>
              <w:rPr>
                <w:rFonts w:hint="eastAsia" w:ascii="Times New Roman" w:hAnsi="Times New Roman"/>
                <w:color w:val="000000" w:themeColor="text1"/>
                <w:kern w:val="0"/>
                <w:sz w:val="24"/>
                <w:szCs w:val="24"/>
                <w14:textFill>
                  <w14:solidFill>
                    <w14:schemeClr w14:val="tx1"/>
                  </w14:solidFill>
                </w14:textFill>
              </w:rPr>
              <w:t>间接持有达盟集团5</w:t>
            </w:r>
            <w:r>
              <w:rPr>
                <w:rFonts w:ascii="Times New Roman" w:hAnsi="Times New Roman"/>
                <w:color w:val="000000" w:themeColor="text1"/>
                <w:kern w:val="0"/>
                <w:sz w:val="24"/>
                <w:szCs w:val="24"/>
                <w14:textFill>
                  <w14:solidFill>
                    <w14:schemeClr w14:val="tx1"/>
                  </w14:solidFill>
                </w14:textFill>
              </w:rPr>
              <w:t>0%</w:t>
            </w:r>
            <w:r>
              <w:rPr>
                <w:rFonts w:hint="eastAsia" w:ascii="Times New Roman" w:hAnsi="Times New Roman"/>
                <w:color w:val="000000" w:themeColor="text1"/>
                <w:kern w:val="0"/>
                <w:sz w:val="24"/>
                <w:szCs w:val="24"/>
                <w14:textFill>
                  <w14:solidFill>
                    <w14:schemeClr w14:val="tx1"/>
                  </w14:solidFill>
                </w14:textFill>
              </w:rPr>
              <w:t>（加1股）的股权，</w:t>
            </w:r>
            <w:r>
              <w:rPr>
                <w:rFonts w:ascii="Times New Roman" w:hAnsi="Times New Roman"/>
                <w:color w:val="000000" w:themeColor="text1"/>
                <w:kern w:val="0"/>
                <w:sz w:val="24"/>
                <w:szCs w:val="24"/>
                <w14:textFill>
                  <w14:solidFill>
                    <w14:schemeClr w14:val="tx1"/>
                  </w14:solidFill>
                </w14:textFill>
              </w:rPr>
              <w:t>Platinum Ivy</w:t>
            </w:r>
            <w:r>
              <w:rPr>
                <w:rFonts w:hint="eastAsia" w:ascii="Times New Roman" w:hAnsi="Times New Roman"/>
                <w:color w:val="000000" w:themeColor="text1"/>
                <w:kern w:val="0"/>
                <w:sz w:val="24"/>
                <w:szCs w:val="24"/>
                <w14:textFill>
                  <w14:solidFill>
                    <w14:schemeClr w14:val="tx1"/>
                  </w14:solidFill>
                </w14:textFill>
              </w:rPr>
              <w:t>间接持有达盟集团5</w:t>
            </w:r>
            <w:r>
              <w:rPr>
                <w:rFonts w:ascii="Times New Roman" w:hAnsi="Times New Roman"/>
                <w:color w:val="000000" w:themeColor="text1"/>
                <w:kern w:val="0"/>
                <w:sz w:val="24"/>
                <w:szCs w:val="24"/>
                <w14:textFill>
                  <w14:solidFill>
                    <w14:schemeClr w14:val="tx1"/>
                  </w14:solidFill>
                </w14:textFill>
              </w:rPr>
              <w:t>0%</w:t>
            </w:r>
            <w:r>
              <w:rPr>
                <w:rFonts w:hint="eastAsia" w:ascii="Times New Roman" w:hAnsi="Times New Roman"/>
                <w:color w:val="000000" w:themeColor="text1"/>
                <w:kern w:val="0"/>
                <w:sz w:val="24"/>
                <w:szCs w:val="24"/>
                <w14:textFill>
                  <w14:solidFill>
                    <w14:schemeClr w14:val="tx1"/>
                  </w14:solidFill>
                </w14:textFill>
              </w:rPr>
              <w:t>（减</w:t>
            </w:r>
            <w:r>
              <w:rPr>
                <w:rFonts w:ascii="Times New Roman" w:hAnsi="Times New Roman"/>
                <w:color w:val="000000" w:themeColor="text1"/>
                <w:kern w:val="0"/>
                <w:sz w:val="24"/>
                <w:szCs w:val="24"/>
                <w14:textFill>
                  <w14:solidFill>
                    <w14:schemeClr w14:val="tx1"/>
                  </w14:solidFill>
                </w14:textFill>
              </w:rPr>
              <w:t>1</w:t>
            </w:r>
            <w:r>
              <w:rPr>
                <w:rFonts w:hint="eastAsia" w:ascii="Times New Roman" w:hAnsi="Times New Roman"/>
                <w:color w:val="000000" w:themeColor="text1"/>
                <w:kern w:val="0"/>
                <w:sz w:val="24"/>
                <w:szCs w:val="24"/>
                <w14:textFill>
                  <w14:solidFill>
                    <w14:schemeClr w14:val="tx1"/>
                  </w14:solidFill>
                </w14:textFill>
              </w:rPr>
              <w:t>股）的股权，熙维和Platinum Ivy共同控制达盟集团。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09" w:type="dxa"/>
            <w:vMerge w:val="restart"/>
            <w:shd w:val="clear" w:color="auto" w:fill="D9D9D9"/>
            <w:vAlign w:val="center"/>
          </w:tcPr>
          <w:p>
            <w:pPr>
              <w:adjustRightInd w:val="0"/>
              <w:snapToGrid w:val="0"/>
              <w:spacing w:before="120" w:after="120"/>
              <w:jc w:val="center"/>
              <w:rPr>
                <w:rFonts w:ascii="Times New Roman" w:hAnsi="Times New Roman"/>
                <w:b/>
                <w:bCs/>
                <w:color w:val="000000" w:themeColor="text1"/>
                <w:kern w:val="0"/>
                <w:sz w:val="24"/>
                <w:szCs w:val="24"/>
                <w14:textFill>
                  <w14:solidFill>
                    <w14:schemeClr w14:val="tx1"/>
                  </w14:solidFill>
                </w14:textFill>
              </w:rPr>
            </w:pPr>
            <w:r>
              <w:rPr>
                <w:rFonts w:ascii="Times New Roman" w:hAnsi="Times New Roman"/>
                <w:b/>
                <w:bCs/>
                <w:color w:val="000000" w:themeColor="text1"/>
                <w:kern w:val="0"/>
                <w:sz w:val="24"/>
                <w:szCs w:val="24"/>
                <w14:textFill>
                  <w14:solidFill>
                    <w14:schemeClr w14:val="tx1"/>
                  </w14:solidFill>
                </w14:textFill>
              </w:rPr>
              <w:t>参与集中的</w:t>
            </w:r>
          </w:p>
          <w:p>
            <w:pPr>
              <w:adjustRightInd w:val="0"/>
              <w:snapToGrid w:val="0"/>
              <w:spacing w:before="120" w:after="120"/>
              <w:jc w:val="center"/>
              <w:rPr>
                <w:rFonts w:ascii="Times New Roman" w:hAnsi="Times New Roman"/>
                <w:b/>
                <w:bCs/>
                <w:color w:val="000000" w:themeColor="text1"/>
                <w:kern w:val="0"/>
                <w:sz w:val="24"/>
                <w:szCs w:val="24"/>
                <w14:textFill>
                  <w14:solidFill>
                    <w14:schemeClr w14:val="tx1"/>
                  </w14:solidFill>
                </w14:textFill>
              </w:rPr>
            </w:pPr>
            <w:r>
              <w:rPr>
                <w:rFonts w:ascii="Times New Roman" w:hAnsi="Times New Roman"/>
                <w:b/>
                <w:bCs/>
                <w:color w:val="000000" w:themeColor="text1"/>
                <w:kern w:val="0"/>
                <w:sz w:val="24"/>
                <w:szCs w:val="24"/>
                <w14:textFill>
                  <w14:solidFill>
                    <w14:schemeClr w14:val="tx1"/>
                  </w14:solidFill>
                </w14:textFill>
              </w:rPr>
              <w:t>经营者简介</w:t>
            </w:r>
          </w:p>
        </w:tc>
        <w:tc>
          <w:tcPr>
            <w:tcW w:w="1796" w:type="dxa"/>
          </w:tcPr>
          <w:p>
            <w:pPr>
              <w:adjustRightInd w:val="0"/>
              <w:snapToGrid w:val="0"/>
              <w:spacing w:before="120" w:after="120"/>
              <w:rPr>
                <w:rFonts w:ascii="Times New Roman" w:hAnsi="Times New Roman"/>
                <w:color w:val="000000" w:themeColor="text1"/>
                <w:kern w:val="0"/>
                <w:sz w:val="24"/>
                <w:szCs w:val="24"/>
                <w14:textFill>
                  <w14:solidFill>
                    <w14:schemeClr w14:val="tx1"/>
                  </w14:solidFill>
                </w14:textFill>
              </w:rPr>
            </w:pPr>
            <w:r>
              <w:rPr>
                <w:rFonts w:ascii="Times New Roman" w:hAnsi="Times New Roman"/>
                <w:color w:val="000000" w:themeColor="text1"/>
                <w:kern w:val="0"/>
                <w:sz w:val="24"/>
                <w:szCs w:val="24"/>
                <w14:textFill>
                  <w14:solidFill>
                    <w14:schemeClr w14:val="tx1"/>
                  </w14:solidFill>
                </w14:textFill>
              </w:rPr>
              <w:t>1、Platinum Ivy</w:t>
            </w:r>
          </w:p>
        </w:tc>
        <w:tc>
          <w:tcPr>
            <w:tcW w:w="5153" w:type="dxa"/>
          </w:tcPr>
          <w:p>
            <w:pPr>
              <w:adjustRightInd w:val="0"/>
              <w:snapToGrid w:val="0"/>
              <w:spacing w:before="120" w:after="120"/>
              <w:rPr>
                <w:rFonts w:ascii="Times New Roman" w:hAnsi="Times New Roman"/>
                <w:color w:val="000000" w:themeColor="text1"/>
                <w:kern w:val="0"/>
                <w:sz w:val="24"/>
                <w:szCs w:val="24"/>
                <w14:textFill>
                  <w14:solidFill>
                    <w14:schemeClr w14:val="tx1"/>
                  </w14:solidFill>
                </w14:textFill>
              </w:rPr>
            </w:pPr>
            <w:r>
              <w:rPr>
                <w:rFonts w:hint="eastAsia" w:ascii="Times New Roman" w:hAnsi="Times New Roman"/>
                <w:color w:val="000000" w:themeColor="text1"/>
                <w:kern w:val="0"/>
                <w:sz w:val="24"/>
                <w:szCs w:val="24"/>
                <w14:textFill>
                  <w14:solidFill>
                    <w14:schemeClr w14:val="tx1"/>
                  </w14:solidFill>
                </w14:textFill>
              </w:rPr>
              <w:t>Platinum Ivy于2018年5月14日在阿拉伯联合酋长国成立。Platinum Ivy的主要业务为私募股权资产类投资。</w:t>
            </w:r>
          </w:p>
          <w:p>
            <w:pPr>
              <w:adjustRightInd w:val="0"/>
              <w:snapToGrid w:val="0"/>
              <w:spacing w:before="120" w:after="120"/>
              <w:rPr>
                <w:rFonts w:ascii="Times New Roman" w:hAnsi="Times New Roman"/>
                <w:color w:val="000000" w:themeColor="text1"/>
                <w:kern w:val="0"/>
                <w:sz w:val="24"/>
                <w:szCs w:val="24"/>
                <w14:textFill>
                  <w14:solidFill>
                    <w14:schemeClr w14:val="tx1"/>
                  </w14:solidFill>
                </w14:textFill>
              </w:rPr>
            </w:pPr>
            <w:r>
              <w:rPr>
                <w:rFonts w:hint="eastAsia" w:ascii="Times New Roman" w:hAnsi="Times New Roman"/>
                <w:color w:val="000000" w:themeColor="text1"/>
                <w:kern w:val="0"/>
                <w:sz w:val="24"/>
                <w:szCs w:val="24"/>
                <w14:textFill>
                  <w14:solidFill>
                    <w14:schemeClr w14:val="tx1"/>
                  </w14:solidFill>
                </w14:textFill>
              </w:rPr>
              <w:t>Platinum Ivy的最终控制人为阿布扎比投资局。阿布扎比投资局管理涉及二十多项资产类别和子类别的全球投资组合。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adjustRightInd w:val="0"/>
              <w:snapToGrid w:val="0"/>
              <w:spacing w:before="120" w:after="120"/>
              <w:jc w:val="center"/>
              <w:rPr>
                <w:rFonts w:ascii="Times New Roman" w:hAnsi="Times New Roman"/>
                <w:b/>
                <w:bCs/>
                <w:color w:val="000000" w:themeColor="text1"/>
                <w:kern w:val="0"/>
                <w:sz w:val="24"/>
                <w:szCs w:val="24"/>
                <w14:textFill>
                  <w14:solidFill>
                    <w14:schemeClr w14:val="tx1"/>
                  </w14:solidFill>
                </w14:textFill>
              </w:rPr>
            </w:pPr>
          </w:p>
        </w:tc>
        <w:tc>
          <w:tcPr>
            <w:tcW w:w="1796" w:type="dxa"/>
          </w:tcPr>
          <w:p>
            <w:pPr>
              <w:adjustRightInd w:val="0"/>
              <w:snapToGrid w:val="0"/>
              <w:spacing w:before="120" w:after="120"/>
              <w:rPr>
                <w:rFonts w:ascii="Times New Roman" w:hAnsi="Times New Roman"/>
                <w:color w:val="000000" w:themeColor="text1"/>
                <w:kern w:val="0"/>
                <w:sz w:val="24"/>
                <w:szCs w:val="24"/>
                <w14:textFill>
                  <w14:solidFill>
                    <w14:schemeClr w14:val="tx1"/>
                  </w14:solidFill>
                </w14:textFill>
              </w:rPr>
            </w:pPr>
            <w:r>
              <w:rPr>
                <w:rFonts w:ascii="Times New Roman" w:hAnsi="Times New Roman"/>
                <w:color w:val="000000" w:themeColor="text1"/>
                <w:kern w:val="0"/>
                <w:sz w:val="24"/>
                <w:szCs w:val="24"/>
                <w14:textFill>
                  <w14:solidFill>
                    <w14:schemeClr w14:val="tx1"/>
                  </w14:solidFill>
                </w14:textFill>
              </w:rPr>
              <w:t>2、熙维</w:t>
            </w:r>
          </w:p>
        </w:tc>
        <w:tc>
          <w:tcPr>
            <w:tcW w:w="5153" w:type="dxa"/>
          </w:tcPr>
          <w:p>
            <w:pPr>
              <w:widowControl/>
              <w:adjustRightInd w:val="0"/>
              <w:snapToGrid w:val="0"/>
              <w:spacing w:before="120" w:after="120"/>
              <w:rPr>
                <w:rFonts w:ascii="Times New Roman" w:hAnsi="Times New Roman"/>
                <w:color w:val="000000" w:themeColor="text1"/>
                <w:kern w:val="0"/>
                <w:sz w:val="24"/>
                <w:szCs w:val="24"/>
                <w14:textFill>
                  <w14:solidFill>
                    <w14:schemeClr w14:val="tx1"/>
                  </w14:solidFill>
                </w14:textFill>
              </w:rPr>
            </w:pPr>
            <w:r>
              <w:rPr>
                <w:rFonts w:hint="eastAsia" w:ascii="Times New Roman" w:hAnsi="Times New Roman"/>
                <w:color w:val="000000" w:themeColor="text1"/>
                <w:kern w:val="0"/>
                <w:sz w:val="24"/>
                <w:szCs w:val="24"/>
                <w14:textFill>
                  <w14:solidFill>
                    <w14:schemeClr w14:val="tx1"/>
                  </w14:solidFill>
                </w14:textFill>
              </w:rPr>
              <w:t>熙维于2008年3月26日成立于卢森堡。熙维的主要业务是代表投资基金为其投资提供投资咨询并管理该等投资，投资领域包含化工、制造、零售和经销、公共事业等行业。</w:t>
            </w:r>
          </w:p>
          <w:p>
            <w:pPr>
              <w:widowControl/>
              <w:adjustRightInd w:val="0"/>
              <w:snapToGrid w:val="0"/>
              <w:spacing w:before="120" w:after="120"/>
              <w:rPr>
                <w:rFonts w:ascii="Times New Roman" w:hAnsi="Times New Roman"/>
                <w:color w:val="000000" w:themeColor="text1"/>
                <w:sz w:val="24"/>
                <w:szCs w:val="24"/>
                <w14:textFill>
                  <w14:solidFill>
                    <w14:schemeClr w14:val="tx1"/>
                  </w14:solidFill>
                </w14:textFill>
              </w:rPr>
            </w:pPr>
            <w:r>
              <w:rPr>
                <w:rFonts w:hint="eastAsia" w:ascii="Times New Roman" w:hAnsi="Times New Roman"/>
                <w:color w:val="000000" w:themeColor="text1"/>
                <w:kern w:val="0"/>
                <w:sz w:val="24"/>
                <w:szCs w:val="24"/>
                <w14:textFill>
                  <w14:solidFill>
                    <w14:schemeClr w14:val="tx1"/>
                  </w14:solidFill>
                </w14:textFill>
              </w:rPr>
              <w:t>熙维无最终控制人。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adjustRightInd w:val="0"/>
              <w:snapToGrid w:val="0"/>
              <w:spacing w:before="120" w:after="120"/>
              <w:jc w:val="center"/>
              <w:rPr>
                <w:rFonts w:ascii="Times New Roman" w:hAnsi="Times New Roman"/>
                <w:b/>
                <w:bCs/>
                <w:color w:val="000000" w:themeColor="text1"/>
                <w:kern w:val="0"/>
                <w:sz w:val="24"/>
                <w:szCs w:val="24"/>
                <w14:textFill>
                  <w14:solidFill>
                    <w14:schemeClr w14:val="tx1"/>
                  </w14:solidFill>
                </w14:textFill>
              </w:rPr>
            </w:pPr>
            <w:r>
              <w:rPr>
                <w:rFonts w:ascii="Times New Roman" w:hAnsi="Times New Roman"/>
                <w:b/>
                <w:bCs/>
                <w:color w:val="000000" w:themeColor="text1"/>
                <w:kern w:val="0"/>
                <w:sz w:val="24"/>
                <w:szCs w:val="24"/>
                <w14:textFill>
                  <w14:solidFill>
                    <w14:schemeClr w14:val="tx1"/>
                  </w14:solidFill>
                </w14:textFill>
              </w:rPr>
              <w:t>简易案件理由（可以单选，也可以多选）</w:t>
            </w:r>
          </w:p>
        </w:tc>
        <w:tc>
          <w:tcPr>
            <w:tcW w:w="6949" w:type="dxa"/>
            <w:gridSpan w:val="2"/>
          </w:tcPr>
          <w:p>
            <w:pPr>
              <w:adjustRightInd w:val="0"/>
              <w:snapToGrid w:val="0"/>
              <w:spacing w:before="120" w:after="120"/>
              <w:rPr>
                <w:rFonts w:ascii="Times New Roman" w:hAnsi="Times New Roman"/>
                <w:color w:val="000000" w:themeColor="text1"/>
                <w:kern w:val="0"/>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sym w:font="Wingdings" w:char="F0A8"/>
            </w:r>
            <w:r>
              <w:rPr>
                <w:rFonts w:ascii="Times New Roman" w:hAnsi="Times New Roman"/>
                <w:color w:val="000000" w:themeColor="text1"/>
                <w:kern w:val="0"/>
                <w:sz w:val="24"/>
                <w:szCs w:val="24"/>
                <w14:textFill>
                  <w14:solidFill>
                    <w14:schemeClr w14:val="tx1"/>
                  </w14:solidFill>
                </w14:textFill>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09" w:type="dxa"/>
            <w:vMerge w:val="continue"/>
            <w:shd w:val="clear" w:color="auto" w:fill="D9D9D9"/>
            <w:vAlign w:val="center"/>
          </w:tcPr>
          <w:p>
            <w:pPr>
              <w:adjustRightInd w:val="0"/>
              <w:snapToGrid w:val="0"/>
              <w:spacing w:before="120" w:after="120"/>
              <w:jc w:val="center"/>
              <w:rPr>
                <w:rFonts w:ascii="Times New Roman" w:hAnsi="Times New Roman"/>
                <w:b/>
                <w:bCs/>
                <w:color w:val="000000" w:themeColor="text1"/>
                <w:kern w:val="0"/>
                <w:sz w:val="24"/>
                <w:szCs w:val="24"/>
                <w14:textFill>
                  <w14:solidFill>
                    <w14:schemeClr w14:val="tx1"/>
                  </w14:solidFill>
                </w14:textFill>
              </w:rPr>
            </w:pPr>
          </w:p>
        </w:tc>
        <w:tc>
          <w:tcPr>
            <w:tcW w:w="6949" w:type="dxa"/>
            <w:gridSpan w:val="2"/>
          </w:tcPr>
          <w:p>
            <w:pPr>
              <w:adjustRightInd w:val="0"/>
              <w:snapToGrid w:val="0"/>
              <w:spacing w:before="120" w:after="120"/>
              <w:rPr>
                <w:rFonts w:ascii="Times New Roman" w:hAnsi="Times New Roman"/>
                <w:color w:val="000000" w:themeColor="text1"/>
                <w:kern w:val="0"/>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sym w:font="Wingdings" w:char="F0A8"/>
            </w:r>
            <w:r>
              <w:rPr>
                <w:rFonts w:ascii="Times New Roman" w:hAnsi="Times New Roman"/>
                <w:color w:val="000000" w:themeColor="text1"/>
                <w:kern w:val="0"/>
                <w:sz w:val="24"/>
                <w:szCs w:val="24"/>
                <w14:textFill>
                  <w14:solidFill>
                    <w14:schemeClr w14:val="tx1"/>
                  </w14:solidFill>
                </w14:textFill>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09" w:type="dxa"/>
            <w:vMerge w:val="continue"/>
            <w:shd w:val="clear" w:color="auto" w:fill="D9D9D9"/>
            <w:vAlign w:val="center"/>
          </w:tcPr>
          <w:p>
            <w:pPr>
              <w:adjustRightInd w:val="0"/>
              <w:snapToGrid w:val="0"/>
              <w:spacing w:before="120" w:after="120"/>
              <w:jc w:val="center"/>
              <w:rPr>
                <w:rFonts w:ascii="Times New Roman" w:hAnsi="Times New Roman"/>
                <w:b/>
                <w:bCs/>
                <w:color w:val="000000" w:themeColor="text1"/>
                <w:kern w:val="0"/>
                <w:sz w:val="24"/>
                <w:szCs w:val="24"/>
                <w14:textFill>
                  <w14:solidFill>
                    <w14:schemeClr w14:val="tx1"/>
                  </w14:solidFill>
                </w14:textFill>
              </w:rPr>
            </w:pPr>
          </w:p>
        </w:tc>
        <w:tc>
          <w:tcPr>
            <w:tcW w:w="6949" w:type="dxa"/>
            <w:gridSpan w:val="2"/>
          </w:tcPr>
          <w:p>
            <w:pPr>
              <w:adjustRightInd w:val="0"/>
              <w:snapToGrid w:val="0"/>
              <w:spacing w:before="120" w:after="120"/>
              <w:rPr>
                <w:rFonts w:ascii="Times New Roman" w:hAnsi="Times New Roman"/>
                <w:color w:val="000000" w:themeColor="text1"/>
                <w:kern w:val="0"/>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sym w:font="Wingdings" w:char="F0FE"/>
            </w:r>
            <w:r>
              <w:rPr>
                <w:rFonts w:ascii="Times New Roman" w:hAnsi="Times New Roman"/>
                <w:color w:val="000000" w:themeColor="text1"/>
                <w:kern w:val="0"/>
                <w:sz w:val="24"/>
                <w:szCs w:val="24"/>
                <w14:textFill>
                  <w14:solidFill>
                    <w14:schemeClr w14:val="tx1"/>
                  </w14:solidFill>
                </w14:textFill>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809" w:type="dxa"/>
            <w:vMerge w:val="continue"/>
            <w:shd w:val="clear" w:color="auto" w:fill="D9D9D9"/>
            <w:vAlign w:val="center"/>
          </w:tcPr>
          <w:p>
            <w:pPr>
              <w:adjustRightInd w:val="0"/>
              <w:snapToGrid w:val="0"/>
              <w:spacing w:before="120" w:after="120"/>
              <w:jc w:val="center"/>
              <w:rPr>
                <w:rFonts w:ascii="Times New Roman" w:hAnsi="Times New Roman"/>
                <w:b/>
                <w:bCs/>
                <w:color w:val="000000" w:themeColor="text1"/>
                <w:kern w:val="0"/>
                <w:sz w:val="24"/>
                <w:szCs w:val="24"/>
                <w14:textFill>
                  <w14:solidFill>
                    <w14:schemeClr w14:val="tx1"/>
                  </w14:solidFill>
                </w14:textFill>
              </w:rPr>
            </w:pPr>
          </w:p>
        </w:tc>
        <w:tc>
          <w:tcPr>
            <w:tcW w:w="6949" w:type="dxa"/>
            <w:gridSpan w:val="2"/>
          </w:tcPr>
          <w:p>
            <w:pPr>
              <w:adjustRightInd w:val="0"/>
              <w:snapToGrid w:val="0"/>
              <w:spacing w:before="120" w:after="120"/>
              <w:rPr>
                <w:rFonts w:ascii="Times New Roman" w:hAnsi="Times New Roman"/>
                <w:color w:val="000000" w:themeColor="text1"/>
                <w:kern w:val="0"/>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sym w:font="Wingdings" w:char="F0A8"/>
            </w:r>
            <w:r>
              <w:rPr>
                <w:rFonts w:ascii="Times New Roman" w:hAnsi="Times New Roman"/>
                <w:color w:val="000000" w:themeColor="text1"/>
                <w:kern w:val="0"/>
                <w:sz w:val="24"/>
                <w:szCs w:val="24"/>
                <w14:textFill>
                  <w14:solidFill>
                    <w14:schemeClr w14:val="tx1"/>
                  </w14:solidFill>
                </w14:textFill>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09" w:type="dxa"/>
            <w:vMerge w:val="continue"/>
            <w:shd w:val="clear" w:color="auto" w:fill="D9D9D9"/>
            <w:vAlign w:val="center"/>
          </w:tcPr>
          <w:p>
            <w:pPr>
              <w:adjustRightInd w:val="0"/>
              <w:snapToGrid w:val="0"/>
              <w:spacing w:before="120" w:after="120"/>
              <w:jc w:val="center"/>
              <w:rPr>
                <w:rFonts w:ascii="Times New Roman" w:hAnsi="Times New Roman"/>
                <w:b/>
                <w:bCs/>
                <w:color w:val="000000" w:themeColor="text1"/>
                <w:kern w:val="0"/>
                <w:sz w:val="24"/>
                <w:szCs w:val="24"/>
                <w14:textFill>
                  <w14:solidFill>
                    <w14:schemeClr w14:val="tx1"/>
                  </w14:solidFill>
                </w14:textFill>
              </w:rPr>
            </w:pPr>
          </w:p>
        </w:tc>
        <w:tc>
          <w:tcPr>
            <w:tcW w:w="6949" w:type="dxa"/>
            <w:gridSpan w:val="2"/>
          </w:tcPr>
          <w:p>
            <w:pPr>
              <w:adjustRightInd w:val="0"/>
              <w:snapToGrid w:val="0"/>
              <w:spacing w:before="120" w:after="120"/>
              <w:rPr>
                <w:rFonts w:ascii="Times New Roman" w:hAnsi="Times New Roman"/>
                <w:color w:val="000000" w:themeColor="text1"/>
                <w:kern w:val="0"/>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sym w:font="Wingdings" w:char="F0A8"/>
            </w:r>
            <w:r>
              <w:rPr>
                <w:rFonts w:ascii="Times New Roman" w:hAnsi="Times New Roman"/>
                <w:color w:val="000000" w:themeColor="text1"/>
                <w:kern w:val="0"/>
                <w:sz w:val="24"/>
                <w:szCs w:val="24"/>
                <w14:textFill>
                  <w14:solidFill>
                    <w14:schemeClr w14:val="tx1"/>
                  </w14:solidFill>
                </w14:textFill>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09" w:type="dxa"/>
            <w:vMerge w:val="continue"/>
            <w:shd w:val="clear" w:color="auto" w:fill="D9D9D9"/>
            <w:vAlign w:val="center"/>
          </w:tcPr>
          <w:p>
            <w:pPr>
              <w:adjustRightInd w:val="0"/>
              <w:snapToGrid w:val="0"/>
              <w:spacing w:before="120" w:after="120"/>
              <w:jc w:val="center"/>
              <w:rPr>
                <w:rFonts w:ascii="Times New Roman" w:hAnsi="Times New Roman"/>
                <w:b/>
                <w:bCs/>
                <w:color w:val="000000" w:themeColor="text1"/>
                <w:kern w:val="0"/>
                <w:sz w:val="24"/>
                <w:szCs w:val="24"/>
                <w14:textFill>
                  <w14:solidFill>
                    <w14:schemeClr w14:val="tx1"/>
                  </w14:solidFill>
                </w14:textFill>
              </w:rPr>
            </w:pPr>
          </w:p>
        </w:tc>
        <w:tc>
          <w:tcPr>
            <w:tcW w:w="6949" w:type="dxa"/>
            <w:gridSpan w:val="2"/>
          </w:tcPr>
          <w:p>
            <w:pPr>
              <w:adjustRightInd w:val="0"/>
              <w:snapToGrid w:val="0"/>
              <w:spacing w:before="120" w:after="120"/>
              <w:rPr>
                <w:rFonts w:ascii="Times New Roman" w:hAnsi="Times New Roman"/>
                <w:color w:val="000000" w:themeColor="text1"/>
                <w:kern w:val="0"/>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sym w:font="Wingdings" w:char="F0A8"/>
            </w:r>
            <w:r>
              <w:rPr>
                <w:rFonts w:ascii="Times New Roman" w:hAnsi="Times New Roman"/>
                <w:color w:val="000000" w:themeColor="text1"/>
                <w:kern w:val="0"/>
                <w:sz w:val="24"/>
                <w:szCs w:val="24"/>
                <w14:textFill>
                  <w14:solidFill>
                    <w14:schemeClr w14:val="tx1"/>
                  </w14:solidFill>
                </w14:textFill>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adjustRightInd w:val="0"/>
              <w:snapToGrid w:val="0"/>
              <w:spacing w:before="120" w:after="120"/>
              <w:jc w:val="center"/>
              <w:rPr>
                <w:rFonts w:ascii="Times New Roman" w:hAnsi="Times New Roman"/>
                <w:b/>
                <w:bCs/>
                <w:color w:val="000000" w:themeColor="text1"/>
                <w:kern w:val="0"/>
                <w:sz w:val="24"/>
                <w:szCs w:val="24"/>
                <w14:textFill>
                  <w14:solidFill>
                    <w14:schemeClr w14:val="tx1"/>
                  </w14:solidFill>
                </w14:textFill>
              </w:rPr>
            </w:pPr>
            <w:r>
              <w:rPr>
                <w:rFonts w:ascii="Times New Roman" w:hAnsi="Times New Roman"/>
                <w:b/>
                <w:bCs/>
                <w:color w:val="000000" w:themeColor="text1"/>
                <w:kern w:val="0"/>
                <w:sz w:val="24"/>
                <w:szCs w:val="24"/>
                <w14:textFill>
                  <w14:solidFill>
                    <w14:schemeClr w14:val="tx1"/>
                  </w14:solidFill>
                </w14:textFill>
              </w:rPr>
              <w:t>备注</w:t>
            </w:r>
          </w:p>
        </w:tc>
        <w:tc>
          <w:tcPr>
            <w:tcW w:w="6949" w:type="dxa"/>
            <w:gridSpan w:val="2"/>
          </w:tcPr>
          <w:p>
            <w:pPr>
              <w:adjustRightInd w:val="0"/>
              <w:snapToGrid w:val="0"/>
              <w:contextualSpacing/>
              <w:rPr>
                <w:rFonts w:ascii="Times New Roman" w:hAnsi="Times New Roman"/>
                <w:b/>
                <w:bCs/>
                <w:color w:val="000000" w:themeColor="text1"/>
                <w:kern w:val="0"/>
                <w:sz w:val="24"/>
                <w:szCs w:val="24"/>
                <w14:textFill>
                  <w14:solidFill>
                    <w14:schemeClr w14:val="tx1"/>
                  </w14:solidFill>
                </w14:textFill>
              </w:rPr>
            </w:pPr>
          </w:p>
          <w:p>
            <w:pPr>
              <w:adjustRightInd w:val="0"/>
              <w:snapToGrid w:val="0"/>
              <w:contextualSpacing/>
              <w:rPr>
                <w:rFonts w:ascii="Times New Roman" w:hAnsi="Times New Roman"/>
                <w:b/>
                <w:bCs/>
                <w:color w:val="000000" w:themeColor="text1"/>
                <w:kern w:val="0"/>
                <w:sz w:val="24"/>
                <w:szCs w:val="24"/>
                <w14:textFill>
                  <w14:solidFill>
                    <w14:schemeClr w14:val="tx1"/>
                  </w14:solidFill>
                </w14:textFill>
              </w:rPr>
            </w:pPr>
            <w:r>
              <w:rPr>
                <w:rFonts w:hint="eastAsia" w:ascii="Times New Roman" w:hAnsi="Times New Roman"/>
                <w:b/>
                <w:bCs/>
                <w:color w:val="000000" w:themeColor="text1"/>
                <w:kern w:val="0"/>
                <w:sz w:val="24"/>
                <w:szCs w:val="24"/>
                <w14:textFill>
                  <w14:solidFill>
                    <w14:schemeClr w14:val="tx1"/>
                  </w14:solidFill>
                </w14:textFill>
              </w:rPr>
              <w:t>混合集中：</w:t>
            </w:r>
          </w:p>
          <w:p>
            <w:pPr>
              <w:adjustRightInd w:val="0"/>
              <w:snapToGrid w:val="0"/>
              <w:contextualSpacing/>
              <w:rPr>
                <w:rFonts w:ascii="Times New Roman" w:hAnsi="Times New Roman"/>
                <w:b/>
                <w:bCs/>
                <w:color w:val="000000" w:themeColor="text1"/>
                <w:kern w:val="0"/>
                <w:sz w:val="24"/>
                <w:szCs w:val="24"/>
                <w14:textFill>
                  <w14:solidFill>
                    <w14:schemeClr w14:val="tx1"/>
                  </w14:solidFill>
                </w14:textFill>
              </w:rPr>
            </w:pPr>
          </w:p>
          <w:p>
            <w:pPr>
              <w:adjustRightInd w:val="0"/>
              <w:snapToGrid w:val="0"/>
              <w:contextualSpacing/>
              <w:rPr>
                <w:rFonts w:ascii="Times New Roman" w:hAnsi="Times New Roman"/>
                <w:color w:val="000000" w:themeColor="text1"/>
                <w:kern w:val="0"/>
                <w:sz w:val="24"/>
                <w:szCs w:val="24"/>
                <w14:textFill>
                  <w14:solidFill>
                    <w14:schemeClr w14:val="tx1"/>
                  </w14:solidFill>
                </w14:textFill>
              </w:rPr>
            </w:pPr>
            <w:r>
              <w:rPr>
                <w:rFonts w:hint="eastAsia" w:ascii="Times New Roman" w:hAnsi="Times New Roman"/>
                <w:color w:val="000000" w:themeColor="text1"/>
                <w:kern w:val="0"/>
                <w:sz w:val="24"/>
                <w:szCs w:val="24"/>
                <w14:textFill>
                  <w14:solidFill>
                    <w14:schemeClr w14:val="tx1"/>
                  </w14:solidFill>
                </w14:textFill>
              </w:rPr>
              <w:t>（1）2021年中国境内会计、审计及税务服务市场</w:t>
            </w:r>
          </w:p>
          <w:p>
            <w:pPr>
              <w:numPr>
                <w:ilvl w:val="0"/>
                <w:numId w:val="0"/>
              </w:numPr>
              <w:adjustRightInd w:val="0"/>
              <w:snapToGrid w:val="0"/>
              <w:ind w:left="0" w:firstLine="480" w:firstLineChars="200"/>
              <w:contextualSpacing/>
              <w:rPr>
                <w:rFonts w:ascii="Times New Roman" w:hAnsi="Times New Roman"/>
                <w:color w:val="000000" w:themeColor="text1"/>
                <w:kern w:val="0"/>
                <w:sz w:val="24"/>
                <w:szCs w:val="24"/>
                <w:lang w:val="en-GB"/>
                <w14:textFill>
                  <w14:solidFill>
                    <w14:schemeClr w14:val="tx1"/>
                  </w14:solidFill>
                </w14:textFill>
              </w:rPr>
            </w:pPr>
            <w:r>
              <w:rPr>
                <w:rFonts w:ascii="Times New Roman" w:hAnsi="Times New Roman"/>
                <w:color w:val="000000" w:themeColor="text1"/>
                <w:kern w:val="0"/>
                <w:sz w:val="24"/>
                <w:szCs w:val="24"/>
                <w:lang w:val="en-GB"/>
                <w14:textFill>
                  <w14:solidFill>
                    <w14:schemeClr w14:val="tx1"/>
                  </w14:solidFill>
                </w14:textFill>
              </w:rPr>
              <w:t>达盟集团：[0-5]%</w:t>
            </w:r>
          </w:p>
          <w:p>
            <w:pPr>
              <w:adjustRightInd w:val="0"/>
              <w:snapToGrid w:val="0"/>
              <w:contextualSpacing/>
              <w:rPr>
                <w:rFonts w:ascii="Times New Roman" w:hAnsi="Times New Roman"/>
                <w:color w:val="000000" w:themeColor="text1"/>
                <w:kern w:val="0"/>
                <w:sz w:val="24"/>
                <w:szCs w:val="24"/>
                <w:lang w:val="en-GB"/>
                <w14:textFill>
                  <w14:solidFill>
                    <w14:schemeClr w14:val="tx1"/>
                  </w14:solidFill>
                </w14:textFill>
              </w:rPr>
            </w:pPr>
          </w:p>
          <w:p>
            <w:pPr>
              <w:adjustRightInd w:val="0"/>
              <w:snapToGrid w:val="0"/>
              <w:contextualSpacing/>
              <w:rPr>
                <w:rFonts w:ascii="Times New Roman" w:hAnsi="Times New Roman"/>
                <w:color w:val="000000" w:themeColor="text1"/>
                <w:kern w:val="0"/>
                <w:sz w:val="24"/>
                <w:szCs w:val="24"/>
                <w14:textFill>
                  <w14:solidFill>
                    <w14:schemeClr w14:val="tx1"/>
                  </w14:solidFill>
                </w14:textFill>
              </w:rPr>
            </w:pPr>
            <w:r>
              <w:rPr>
                <w:rFonts w:hint="eastAsia" w:ascii="Times New Roman" w:hAnsi="Times New Roman"/>
                <w:color w:val="000000" w:themeColor="text1"/>
                <w:kern w:val="0"/>
                <w:sz w:val="24"/>
                <w:szCs w:val="24"/>
                <w14:textFill>
                  <w14:solidFill>
                    <w14:schemeClr w14:val="tx1"/>
                  </w14:solidFill>
                </w14:textFill>
              </w:rPr>
              <w:t>（2）2021年中国境内人力资源服务市场</w:t>
            </w:r>
          </w:p>
          <w:p>
            <w:pPr>
              <w:numPr>
                <w:ilvl w:val="0"/>
                <w:numId w:val="0"/>
              </w:numPr>
              <w:adjustRightInd w:val="0"/>
              <w:snapToGrid w:val="0"/>
              <w:ind w:left="0" w:firstLine="480" w:firstLineChars="200"/>
              <w:contextualSpacing/>
              <w:rPr>
                <w:rFonts w:ascii="Times New Roman" w:hAnsi="Times New Roman"/>
                <w:color w:val="000000" w:themeColor="text1"/>
                <w:kern w:val="0"/>
                <w:sz w:val="24"/>
                <w:szCs w:val="24"/>
                <w:lang w:val="en-GB"/>
                <w14:textFill>
                  <w14:solidFill>
                    <w14:schemeClr w14:val="tx1"/>
                  </w14:solidFill>
                </w14:textFill>
              </w:rPr>
            </w:pPr>
            <w:r>
              <w:rPr>
                <w:rFonts w:ascii="Times New Roman" w:hAnsi="Times New Roman"/>
                <w:color w:val="000000" w:themeColor="text1"/>
                <w:kern w:val="0"/>
                <w:sz w:val="24"/>
                <w:szCs w:val="24"/>
                <w:lang w:val="en-GB"/>
                <w14:textFill>
                  <w14:solidFill>
                    <w14:schemeClr w14:val="tx1"/>
                  </w14:solidFill>
                </w14:textFill>
              </w:rPr>
              <w:t>达盟集团：[0-5]%</w:t>
            </w:r>
          </w:p>
          <w:p>
            <w:pPr>
              <w:adjustRightInd w:val="0"/>
              <w:snapToGrid w:val="0"/>
              <w:contextualSpacing/>
              <w:rPr>
                <w:rFonts w:ascii="Times New Roman" w:hAnsi="Times New Roman"/>
                <w:color w:val="000000" w:themeColor="text1"/>
                <w:kern w:val="0"/>
                <w:sz w:val="24"/>
                <w:szCs w:val="24"/>
                <w:lang w:val="en-GB"/>
                <w14:textFill>
                  <w14:solidFill>
                    <w14:schemeClr w14:val="tx1"/>
                  </w14:solidFill>
                </w14:textFill>
              </w:rPr>
            </w:pPr>
          </w:p>
          <w:p>
            <w:pPr>
              <w:adjustRightInd w:val="0"/>
              <w:snapToGrid w:val="0"/>
              <w:contextualSpacing/>
              <w:rPr>
                <w:rFonts w:ascii="Times New Roman" w:hAnsi="Times New Roman"/>
                <w:color w:val="000000" w:themeColor="text1"/>
                <w:kern w:val="0"/>
                <w:sz w:val="24"/>
                <w:szCs w:val="24"/>
                <w14:textFill>
                  <w14:solidFill>
                    <w14:schemeClr w14:val="tx1"/>
                  </w14:solidFill>
                </w14:textFill>
              </w:rPr>
            </w:pPr>
            <w:r>
              <w:rPr>
                <w:rFonts w:hint="eastAsia" w:ascii="Times New Roman" w:hAnsi="Times New Roman"/>
                <w:color w:val="000000" w:themeColor="text1"/>
                <w:kern w:val="0"/>
                <w:sz w:val="24"/>
                <w:szCs w:val="24"/>
                <w14:textFill>
                  <w14:solidFill>
                    <w14:schemeClr w14:val="tx1"/>
                  </w14:solidFill>
                </w14:textFill>
              </w:rPr>
              <w:t>（3）2021年中国境内商务代理代办服务市场</w:t>
            </w:r>
          </w:p>
          <w:p>
            <w:pPr>
              <w:adjustRightInd w:val="0"/>
              <w:snapToGrid w:val="0"/>
              <w:spacing w:before="0" w:after="0"/>
              <w:ind w:left="0" w:firstLine="480" w:firstLineChars="200"/>
              <w:contextualSpacing/>
              <w:rPr>
                <w:rFonts w:ascii="Times New Roman" w:hAnsi="Times New Roman"/>
                <w:b/>
                <w:bCs/>
                <w:color w:val="000000" w:themeColor="text1"/>
                <w:kern w:val="0"/>
                <w:sz w:val="24"/>
                <w:szCs w:val="24"/>
                <w14:textFill>
                  <w14:solidFill>
                    <w14:schemeClr w14:val="tx1"/>
                  </w14:solidFill>
                </w14:textFill>
              </w:rPr>
            </w:pPr>
            <w:r>
              <w:rPr>
                <w:rFonts w:ascii="Times New Roman" w:hAnsi="Times New Roman"/>
                <w:color w:val="000000" w:themeColor="text1"/>
                <w:kern w:val="0"/>
                <w:sz w:val="24"/>
                <w:szCs w:val="24"/>
                <w:lang w:val="en-GB"/>
                <w14:textFill>
                  <w14:solidFill>
                    <w14:schemeClr w14:val="tx1"/>
                  </w14:solidFill>
                </w14:textFill>
              </w:rPr>
              <w:t>达盟集团：[0-5]%</w:t>
            </w:r>
          </w:p>
        </w:tc>
      </w:tr>
    </w:tbl>
    <w:p>
      <w:pPr>
        <w:rPr>
          <w:rFonts w:ascii="Times New Roman" w:hAnsi="Times New Roman"/>
          <w:color w:val="000000" w:themeColor="text1"/>
          <w14:textFill>
            <w14:solidFill>
              <w14:schemeClr w14:val="tx1"/>
            </w14:solidFill>
          </w14:textFill>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swiss"/>
    <w:pitch w:val="default"/>
    <w:sig w:usb0="E10022FF" w:usb1="C000E47F" w:usb2="00000029" w:usb3="00000000" w:csb0="200001DF" w:csb1="20000000"/>
  </w:font>
  <w:font w:name="Courier New">
    <w:panose1 w:val="02070309020205020404"/>
    <w:charset w:val="00"/>
    <w:family w:val="modern"/>
    <w:pitch w:val="default"/>
    <w:sig w:usb0="E0002AFF" w:usb1="C0007843" w:usb2="00000009" w:usb3="00000000" w:csb0="400001FF" w:csb1="FFFF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bordersDoNotSurroundHeader w:val="1"/>
  <w:bordersDoNotSurroundFooter w:val="1"/>
  <w:hideSpellingErrors/>
  <w:hideGrammaticalErrors/>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0DF"/>
    <w:rsid w:val="000051E7"/>
    <w:rsid w:val="00010163"/>
    <w:rsid w:val="00014361"/>
    <w:rsid w:val="0001522C"/>
    <w:rsid w:val="000174C7"/>
    <w:rsid w:val="00037065"/>
    <w:rsid w:val="00044DC6"/>
    <w:rsid w:val="0005300A"/>
    <w:rsid w:val="000847DF"/>
    <w:rsid w:val="000916EC"/>
    <w:rsid w:val="000A3557"/>
    <w:rsid w:val="000B7A5A"/>
    <w:rsid w:val="000C39AB"/>
    <w:rsid w:val="000C3C35"/>
    <w:rsid w:val="000D5B52"/>
    <w:rsid w:val="000D7EBA"/>
    <w:rsid w:val="000E7983"/>
    <w:rsid w:val="000F2FBE"/>
    <w:rsid w:val="001004C6"/>
    <w:rsid w:val="001009BF"/>
    <w:rsid w:val="001031AB"/>
    <w:rsid w:val="0011086D"/>
    <w:rsid w:val="001164CD"/>
    <w:rsid w:val="00153AAC"/>
    <w:rsid w:val="00155717"/>
    <w:rsid w:val="00156C26"/>
    <w:rsid w:val="00161115"/>
    <w:rsid w:val="0018334E"/>
    <w:rsid w:val="001837A3"/>
    <w:rsid w:val="00187C1A"/>
    <w:rsid w:val="001933DE"/>
    <w:rsid w:val="001B6DD6"/>
    <w:rsid w:val="001C112E"/>
    <w:rsid w:val="001C776B"/>
    <w:rsid w:val="001D645B"/>
    <w:rsid w:val="001D7A0E"/>
    <w:rsid w:val="001E194D"/>
    <w:rsid w:val="001E3A19"/>
    <w:rsid w:val="001E41FF"/>
    <w:rsid w:val="00211D8B"/>
    <w:rsid w:val="002165BB"/>
    <w:rsid w:val="002335B8"/>
    <w:rsid w:val="00235512"/>
    <w:rsid w:val="00241456"/>
    <w:rsid w:val="002423D2"/>
    <w:rsid w:val="00243160"/>
    <w:rsid w:val="00262E9C"/>
    <w:rsid w:val="00271620"/>
    <w:rsid w:val="0029546B"/>
    <w:rsid w:val="002A2528"/>
    <w:rsid w:val="002A2BE1"/>
    <w:rsid w:val="002A4976"/>
    <w:rsid w:val="002B6088"/>
    <w:rsid w:val="002B7EA6"/>
    <w:rsid w:val="002C10A6"/>
    <w:rsid w:val="002D6FF0"/>
    <w:rsid w:val="002E5AF4"/>
    <w:rsid w:val="002F1A8B"/>
    <w:rsid w:val="0031643E"/>
    <w:rsid w:val="0034193A"/>
    <w:rsid w:val="00350FEB"/>
    <w:rsid w:val="00364887"/>
    <w:rsid w:val="00375E19"/>
    <w:rsid w:val="00381B72"/>
    <w:rsid w:val="00392330"/>
    <w:rsid w:val="003A3C68"/>
    <w:rsid w:val="003B07E0"/>
    <w:rsid w:val="003B2B40"/>
    <w:rsid w:val="003C071F"/>
    <w:rsid w:val="003C0AEB"/>
    <w:rsid w:val="003C5F2E"/>
    <w:rsid w:val="003D2B44"/>
    <w:rsid w:val="00414932"/>
    <w:rsid w:val="00414CD2"/>
    <w:rsid w:val="00427BA6"/>
    <w:rsid w:val="0046179D"/>
    <w:rsid w:val="00482832"/>
    <w:rsid w:val="0048326B"/>
    <w:rsid w:val="00483B24"/>
    <w:rsid w:val="004C2BEB"/>
    <w:rsid w:val="004D32EE"/>
    <w:rsid w:val="004D551C"/>
    <w:rsid w:val="004E4DDA"/>
    <w:rsid w:val="004F34E9"/>
    <w:rsid w:val="004F7688"/>
    <w:rsid w:val="00502BA7"/>
    <w:rsid w:val="00510480"/>
    <w:rsid w:val="0053019A"/>
    <w:rsid w:val="00554B02"/>
    <w:rsid w:val="0056357F"/>
    <w:rsid w:val="00572E55"/>
    <w:rsid w:val="005801F0"/>
    <w:rsid w:val="005835A4"/>
    <w:rsid w:val="005908B9"/>
    <w:rsid w:val="00595040"/>
    <w:rsid w:val="005C3C24"/>
    <w:rsid w:val="005D5006"/>
    <w:rsid w:val="005F4EDA"/>
    <w:rsid w:val="00602683"/>
    <w:rsid w:val="0061163D"/>
    <w:rsid w:val="0061325B"/>
    <w:rsid w:val="0062144C"/>
    <w:rsid w:val="00622809"/>
    <w:rsid w:val="00643560"/>
    <w:rsid w:val="006467D8"/>
    <w:rsid w:val="00664171"/>
    <w:rsid w:val="00664F6A"/>
    <w:rsid w:val="00670951"/>
    <w:rsid w:val="00677584"/>
    <w:rsid w:val="00686232"/>
    <w:rsid w:val="006A51D5"/>
    <w:rsid w:val="006A531B"/>
    <w:rsid w:val="006B167D"/>
    <w:rsid w:val="006C19BD"/>
    <w:rsid w:val="006D6AEF"/>
    <w:rsid w:val="006F7693"/>
    <w:rsid w:val="00710140"/>
    <w:rsid w:val="00716703"/>
    <w:rsid w:val="00752595"/>
    <w:rsid w:val="00770D7C"/>
    <w:rsid w:val="00782A6D"/>
    <w:rsid w:val="0079223F"/>
    <w:rsid w:val="00792C21"/>
    <w:rsid w:val="007A127A"/>
    <w:rsid w:val="007C694B"/>
    <w:rsid w:val="007F2275"/>
    <w:rsid w:val="00806960"/>
    <w:rsid w:val="008251A5"/>
    <w:rsid w:val="008311AE"/>
    <w:rsid w:val="00840FF4"/>
    <w:rsid w:val="0087027C"/>
    <w:rsid w:val="00871139"/>
    <w:rsid w:val="008979E8"/>
    <w:rsid w:val="008A0E13"/>
    <w:rsid w:val="008A35D6"/>
    <w:rsid w:val="008A3A80"/>
    <w:rsid w:val="008A7CBD"/>
    <w:rsid w:val="008B71E1"/>
    <w:rsid w:val="008C0D09"/>
    <w:rsid w:val="008D4535"/>
    <w:rsid w:val="008E58A7"/>
    <w:rsid w:val="008F3A4E"/>
    <w:rsid w:val="0090012E"/>
    <w:rsid w:val="0090783F"/>
    <w:rsid w:val="009142D3"/>
    <w:rsid w:val="00915F0F"/>
    <w:rsid w:val="00921C86"/>
    <w:rsid w:val="00943AC0"/>
    <w:rsid w:val="009532DF"/>
    <w:rsid w:val="00971FBD"/>
    <w:rsid w:val="009743AF"/>
    <w:rsid w:val="00997019"/>
    <w:rsid w:val="009A5029"/>
    <w:rsid w:val="009A67F9"/>
    <w:rsid w:val="009A6D78"/>
    <w:rsid w:val="009B2358"/>
    <w:rsid w:val="009D2478"/>
    <w:rsid w:val="009D38D5"/>
    <w:rsid w:val="009E254D"/>
    <w:rsid w:val="009F1DE6"/>
    <w:rsid w:val="009F705F"/>
    <w:rsid w:val="00A11CB1"/>
    <w:rsid w:val="00A30F29"/>
    <w:rsid w:val="00A53F26"/>
    <w:rsid w:val="00A55365"/>
    <w:rsid w:val="00A7096F"/>
    <w:rsid w:val="00A86983"/>
    <w:rsid w:val="00AA0CC5"/>
    <w:rsid w:val="00AA5428"/>
    <w:rsid w:val="00AB04BF"/>
    <w:rsid w:val="00AD59F6"/>
    <w:rsid w:val="00AE12B8"/>
    <w:rsid w:val="00AF057F"/>
    <w:rsid w:val="00AF1AA9"/>
    <w:rsid w:val="00AF2DD2"/>
    <w:rsid w:val="00AF3645"/>
    <w:rsid w:val="00B0106D"/>
    <w:rsid w:val="00B07137"/>
    <w:rsid w:val="00B16AFE"/>
    <w:rsid w:val="00B213E1"/>
    <w:rsid w:val="00B232EC"/>
    <w:rsid w:val="00B23CE4"/>
    <w:rsid w:val="00B331F2"/>
    <w:rsid w:val="00B45BFB"/>
    <w:rsid w:val="00B60CB3"/>
    <w:rsid w:val="00B65DD5"/>
    <w:rsid w:val="00B6664C"/>
    <w:rsid w:val="00B9038D"/>
    <w:rsid w:val="00B95957"/>
    <w:rsid w:val="00BB6566"/>
    <w:rsid w:val="00BD10B6"/>
    <w:rsid w:val="00BE2BF3"/>
    <w:rsid w:val="00BE5615"/>
    <w:rsid w:val="00C07076"/>
    <w:rsid w:val="00C21511"/>
    <w:rsid w:val="00C446CE"/>
    <w:rsid w:val="00C66B1A"/>
    <w:rsid w:val="00C721B3"/>
    <w:rsid w:val="00C81116"/>
    <w:rsid w:val="00C92C3E"/>
    <w:rsid w:val="00C9624B"/>
    <w:rsid w:val="00CA3A64"/>
    <w:rsid w:val="00CA48CF"/>
    <w:rsid w:val="00CB00DF"/>
    <w:rsid w:val="00CB07DC"/>
    <w:rsid w:val="00CB2CC7"/>
    <w:rsid w:val="00CB71AD"/>
    <w:rsid w:val="00CC779A"/>
    <w:rsid w:val="00CD192B"/>
    <w:rsid w:val="00CE70B0"/>
    <w:rsid w:val="00CF766F"/>
    <w:rsid w:val="00D43989"/>
    <w:rsid w:val="00D57DCF"/>
    <w:rsid w:val="00D73C72"/>
    <w:rsid w:val="00D7608F"/>
    <w:rsid w:val="00D8393F"/>
    <w:rsid w:val="00D85808"/>
    <w:rsid w:val="00DA024D"/>
    <w:rsid w:val="00DC073B"/>
    <w:rsid w:val="00DD74F3"/>
    <w:rsid w:val="00DF7D84"/>
    <w:rsid w:val="00E0592B"/>
    <w:rsid w:val="00E05B2E"/>
    <w:rsid w:val="00E12DE1"/>
    <w:rsid w:val="00E219B0"/>
    <w:rsid w:val="00E31738"/>
    <w:rsid w:val="00E365A3"/>
    <w:rsid w:val="00E4309C"/>
    <w:rsid w:val="00E55BF1"/>
    <w:rsid w:val="00E75354"/>
    <w:rsid w:val="00E80A15"/>
    <w:rsid w:val="00E80BD0"/>
    <w:rsid w:val="00E8192E"/>
    <w:rsid w:val="00E83805"/>
    <w:rsid w:val="00E86786"/>
    <w:rsid w:val="00E87C4C"/>
    <w:rsid w:val="00E93091"/>
    <w:rsid w:val="00EA23F0"/>
    <w:rsid w:val="00EB641F"/>
    <w:rsid w:val="00EC2C0E"/>
    <w:rsid w:val="00ED2F80"/>
    <w:rsid w:val="00EE039D"/>
    <w:rsid w:val="00EE30EF"/>
    <w:rsid w:val="00EE5CFF"/>
    <w:rsid w:val="00EF464C"/>
    <w:rsid w:val="00F00C69"/>
    <w:rsid w:val="00F1624E"/>
    <w:rsid w:val="00F2497C"/>
    <w:rsid w:val="00F32F8A"/>
    <w:rsid w:val="00F445FA"/>
    <w:rsid w:val="00F5229B"/>
    <w:rsid w:val="00F56680"/>
    <w:rsid w:val="00F6073D"/>
    <w:rsid w:val="00F61028"/>
    <w:rsid w:val="00F66970"/>
    <w:rsid w:val="00F7118B"/>
    <w:rsid w:val="00F810AA"/>
    <w:rsid w:val="00F9127E"/>
    <w:rsid w:val="00FB43EC"/>
    <w:rsid w:val="00FB6B40"/>
    <w:rsid w:val="00FC40A6"/>
    <w:rsid w:val="00FD5561"/>
    <w:rsid w:val="00FE4AB5"/>
    <w:rsid w:val="00FE4F8A"/>
    <w:rsid w:val="158D08F2"/>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alloon Text"/>
    <w:basedOn w:val="1"/>
    <w:link w:val="15"/>
    <w:semiHidden/>
    <w:unhideWhenUsed/>
    <w:qFormat/>
    <w:uiPriority w:val="99"/>
    <w:rPr>
      <w:rFonts w:ascii="Segoe UI" w:hAnsi="Segoe UI" w:cs="Segoe UI"/>
      <w:sz w:val="18"/>
      <w:szCs w:val="18"/>
    </w:rPr>
  </w:style>
  <w:style w:type="paragraph" w:styleId="3">
    <w:name w:val="footer"/>
    <w:basedOn w:val="1"/>
    <w:link w:val="11"/>
    <w:unhideWhenUsed/>
    <w:qFormat/>
    <w:uiPriority w:val="99"/>
    <w:pPr>
      <w:tabs>
        <w:tab w:val="center" w:pos="4153"/>
        <w:tab w:val="right" w:pos="8306"/>
      </w:tabs>
    </w:pPr>
  </w:style>
  <w:style w:type="paragraph" w:styleId="4">
    <w:name w:val="header"/>
    <w:basedOn w:val="1"/>
    <w:link w:val="10"/>
    <w:unhideWhenUsed/>
    <w:qFormat/>
    <w:uiPriority w:val="99"/>
    <w:pPr>
      <w:tabs>
        <w:tab w:val="center" w:pos="4153"/>
        <w:tab w:val="right" w:pos="8306"/>
      </w:tabs>
    </w:pPr>
  </w:style>
  <w:style w:type="table" w:styleId="6">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FollowedHyperlink"/>
    <w:basedOn w:val="7"/>
    <w:semiHidden/>
    <w:unhideWhenUsed/>
    <w:qFormat/>
    <w:uiPriority w:val="99"/>
    <w:rPr>
      <w:color w:val="954F72" w:themeColor="followedHyperlink"/>
      <w:u w:val="single"/>
      <w14:textFill>
        <w14:solidFill>
          <w14:schemeClr w14:val="folHlink"/>
        </w14:solidFill>
      </w14:textFill>
    </w:rPr>
  </w:style>
  <w:style w:type="character" w:styleId="9">
    <w:name w:val="Hyperlink"/>
    <w:basedOn w:val="7"/>
    <w:unhideWhenUsed/>
    <w:qFormat/>
    <w:uiPriority w:val="99"/>
    <w:rPr>
      <w:color w:val="0563C1" w:themeColor="hyperlink"/>
      <w:u w:val="single"/>
      <w14:textFill>
        <w14:solidFill>
          <w14:schemeClr w14:val="hlink"/>
        </w14:solidFill>
      </w14:textFill>
    </w:rPr>
  </w:style>
  <w:style w:type="character" w:customStyle="1" w:styleId="10">
    <w:name w:val="页眉 字符"/>
    <w:basedOn w:val="7"/>
    <w:link w:val="4"/>
    <w:qFormat/>
    <w:uiPriority w:val="99"/>
    <w:rPr>
      <w:rFonts w:ascii="Calibri" w:hAnsi="Calibri" w:eastAsia="宋体" w:cs="Times New Roman"/>
    </w:rPr>
  </w:style>
  <w:style w:type="character" w:customStyle="1" w:styleId="11">
    <w:name w:val="页脚 字符"/>
    <w:basedOn w:val="7"/>
    <w:link w:val="3"/>
    <w:uiPriority w:val="99"/>
    <w:rPr>
      <w:rFonts w:ascii="Calibri" w:hAnsi="Calibri" w:eastAsia="宋体" w:cs="Times New Roman"/>
    </w:rPr>
  </w:style>
  <w:style w:type="character" w:customStyle="1" w:styleId="12">
    <w:name w:val="Unresolved Mention"/>
    <w:basedOn w:val="7"/>
    <w:semiHidden/>
    <w:unhideWhenUsed/>
    <w:uiPriority w:val="99"/>
    <w:rPr>
      <w:color w:val="605E5C"/>
      <w:shd w:val="clear" w:color="auto" w:fill="E1DFDD"/>
    </w:rPr>
  </w:style>
  <w:style w:type="paragraph" w:styleId="13">
    <w:name w:val="List Paragraph"/>
    <w:basedOn w:val="1"/>
    <w:link w:val="14"/>
    <w:qFormat/>
    <w:uiPriority w:val="34"/>
    <w:pPr>
      <w:ind w:left="720"/>
      <w:contextualSpacing/>
    </w:pPr>
    <w:rPr>
      <w:rFonts w:ascii="Times New Roman" w:hAnsi="Times New Roman"/>
      <w:szCs w:val="24"/>
    </w:rPr>
  </w:style>
  <w:style w:type="character" w:customStyle="1" w:styleId="14">
    <w:name w:val="列表段落 字符"/>
    <w:basedOn w:val="7"/>
    <w:link w:val="13"/>
    <w:locked/>
    <w:uiPriority w:val="34"/>
    <w:rPr>
      <w:rFonts w:ascii="Times New Roman" w:hAnsi="Times New Roman" w:eastAsia="宋体" w:cs="Times New Roman"/>
      <w:szCs w:val="24"/>
    </w:rPr>
  </w:style>
  <w:style w:type="character" w:customStyle="1" w:styleId="15">
    <w:name w:val="批注框文本 字符"/>
    <w:basedOn w:val="7"/>
    <w:link w:val="2"/>
    <w:semiHidden/>
    <w:uiPriority w:val="99"/>
    <w:rPr>
      <w:rFonts w:ascii="Segoe UI" w:hAnsi="Segoe UI" w:eastAsia="宋体" w:cs="Segoe UI"/>
      <w:sz w:val="18"/>
      <w:szCs w:val="18"/>
    </w:rPr>
  </w:style>
  <w:style w:type="paragraph" w:customStyle="1" w:styleId="16">
    <w:name w:val="Revision"/>
    <w:hidden/>
    <w:semiHidden/>
    <w:qFormat/>
    <w:uiPriority w:val="99"/>
    <w:rPr>
      <w:rFonts w:ascii="Calibri"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160</Words>
  <Characters>917</Characters>
  <Lines>7</Lines>
  <Paragraphs>2</Paragraphs>
  <TotalTime>2</TotalTime>
  <ScaleCrop>false</ScaleCrop>
  <LinksUpToDate>false</LinksUpToDate>
  <CharactersWithSpaces>1075</CharactersWithSpaces>
  <Application>WPS Office_11.8.2.10393_F1E327BC-269C-435d-A152-05C5408002CA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2022-09-06T02:35:00Z</dcterms:created>
  <dc:creator>604</dc:creator>
  <cp:lastModifiedBy>何俊</cp:lastModifiedBy>
  <cp:lastPrinted>2022-09-06T06:20:57Z</cp:lastPrinted>
  <dcterms:modified xsi:type="dcterms:W3CDTF">2022-09-06T06:21:00Z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2052-11.8.2.10393</vt:lpwstr>
  </property>
</Properties>
</file>