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EAEF9" w14:textId="77777777" w:rsidR="0016337D" w:rsidRDefault="0016337D">
      <w:pPr>
        <w:snapToGrid w:val="0"/>
        <w:spacing w:before="100" w:beforeAutospacing="1" w:after="100" w:afterAutospacing="1"/>
        <w:jc w:val="left"/>
        <w:rPr>
          <w:rFonts w:ascii="Times New Roman" w:hAnsi="Times New Roman"/>
          <w:b/>
          <w:szCs w:val="21"/>
        </w:rPr>
      </w:pPr>
    </w:p>
    <w:p w14:paraId="1FBB5F79" w14:textId="77777777" w:rsidR="0016337D" w:rsidRDefault="00E25FE0">
      <w:pPr>
        <w:spacing w:line="440" w:lineRule="exact"/>
        <w:jc w:val="center"/>
        <w:rPr>
          <w:rFonts w:ascii="黑体" w:eastAsia="黑体" w:hAnsi="Times New Roman"/>
          <w:sz w:val="36"/>
          <w:szCs w:val="36"/>
        </w:rPr>
      </w:pPr>
      <w:r>
        <w:rPr>
          <w:rFonts w:ascii="黑体" w:eastAsia="黑体" w:hAnsi="Times New Roman" w:hint="eastAsia"/>
          <w:sz w:val="36"/>
          <w:szCs w:val="36"/>
        </w:rPr>
        <w:t>经营者集中简易案件公示表</w:t>
      </w:r>
    </w:p>
    <w:p w14:paraId="724A76B3" w14:textId="77777777" w:rsidR="0016337D" w:rsidRDefault="0016337D">
      <w:pPr>
        <w:spacing w:line="440" w:lineRule="exact"/>
        <w:rPr>
          <w:rFonts w:ascii="黑体" w:eastAsia="黑体" w:hAnsi="Times New Roman"/>
          <w:sz w:val="28"/>
          <w:szCs w:val="28"/>
        </w:rPr>
      </w:pPr>
    </w:p>
    <w:p w14:paraId="2DB8B7C0" w14:textId="77777777" w:rsidR="0016337D" w:rsidRDefault="0016337D">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16337D" w14:paraId="585BDF2C" w14:textId="77777777">
        <w:tc>
          <w:tcPr>
            <w:tcW w:w="1809" w:type="dxa"/>
            <w:shd w:val="clear" w:color="auto" w:fill="D9D9D9"/>
            <w:vAlign w:val="center"/>
          </w:tcPr>
          <w:p w14:paraId="226E0B02"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案件名称</w:t>
            </w:r>
          </w:p>
        </w:tc>
        <w:tc>
          <w:tcPr>
            <w:tcW w:w="6949" w:type="dxa"/>
            <w:gridSpan w:val="2"/>
            <w:vAlign w:val="center"/>
          </w:tcPr>
          <w:p w14:paraId="72A8FF6D" w14:textId="475E0AE9" w:rsidR="0016337D" w:rsidRDefault="00D3579B">
            <w:pPr>
              <w:spacing w:line="500" w:lineRule="exact"/>
              <w:rPr>
                <w:rFonts w:ascii="宋体" w:hAnsi="宋体" w:cs="宋体"/>
                <w:color w:val="333333"/>
                <w:kern w:val="0"/>
                <w:sz w:val="24"/>
                <w:szCs w:val="24"/>
              </w:rPr>
            </w:pPr>
            <w:r w:rsidRPr="00D3579B">
              <w:rPr>
                <w:rFonts w:ascii="宋体" w:hAnsi="宋体" w:cs="宋体" w:hint="eastAsia"/>
                <w:color w:val="333333"/>
                <w:kern w:val="0"/>
                <w:sz w:val="24"/>
                <w:szCs w:val="24"/>
              </w:rPr>
              <w:t>北京北汽鹏龙汽车服务贸易股份有限公司收购北京伊诺盛北广广告有限公司股权案</w:t>
            </w:r>
          </w:p>
        </w:tc>
      </w:tr>
      <w:tr w:rsidR="0016337D" w14:paraId="25118125" w14:textId="77777777">
        <w:trPr>
          <w:trHeight w:val="993"/>
        </w:trPr>
        <w:tc>
          <w:tcPr>
            <w:tcW w:w="1809" w:type="dxa"/>
            <w:shd w:val="clear" w:color="auto" w:fill="D9D9D9"/>
            <w:vAlign w:val="center"/>
          </w:tcPr>
          <w:p w14:paraId="578D8E73"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交易概况</w:t>
            </w:r>
          </w:p>
          <w:p w14:paraId="6C9EA818"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（限200字内）</w:t>
            </w:r>
          </w:p>
        </w:tc>
        <w:tc>
          <w:tcPr>
            <w:tcW w:w="6949" w:type="dxa"/>
            <w:gridSpan w:val="2"/>
            <w:vAlign w:val="center"/>
          </w:tcPr>
          <w:p w14:paraId="1DA38427" w14:textId="412EFEE9" w:rsidR="0016337D" w:rsidRDefault="000B0585">
            <w:pPr>
              <w:spacing w:line="500" w:lineRule="exact"/>
              <w:rPr>
                <w:rFonts w:ascii="宋体" w:hAnsi="宋体" w:cs="宋体"/>
                <w:color w:val="333333"/>
                <w:kern w:val="0"/>
                <w:sz w:val="24"/>
                <w:szCs w:val="24"/>
              </w:rPr>
            </w:pPr>
            <w:r w:rsidRPr="003D6FF9">
              <w:rPr>
                <w:rFonts w:ascii="宋体" w:hAnsi="宋体" w:cs="宋体" w:hint="eastAsia"/>
                <w:color w:val="333333"/>
                <w:kern w:val="0"/>
                <w:sz w:val="24"/>
                <w:szCs w:val="24"/>
              </w:rPr>
              <w:t>北京世纪北广广告有限公司</w:t>
            </w:r>
            <w:r>
              <w:rPr>
                <w:rFonts w:ascii="宋体" w:hAnsi="宋体" w:cs="宋体" w:hint="eastAsia"/>
                <w:color w:val="333333"/>
                <w:kern w:val="0"/>
                <w:sz w:val="24"/>
                <w:szCs w:val="24"/>
              </w:rPr>
              <w:t>（“世纪北广”）与</w:t>
            </w:r>
            <w:r w:rsidR="003D6FF9" w:rsidRPr="00D3579B">
              <w:rPr>
                <w:rFonts w:ascii="宋体" w:hAnsi="宋体" w:cs="宋体" w:hint="eastAsia"/>
                <w:color w:val="333333"/>
                <w:kern w:val="0"/>
                <w:sz w:val="24"/>
                <w:szCs w:val="24"/>
              </w:rPr>
              <w:t>北京北汽鹏龙汽车服务贸易股份有限公司</w:t>
            </w:r>
            <w:r w:rsidR="003D6FF9">
              <w:rPr>
                <w:rFonts w:ascii="宋体" w:hAnsi="宋体" w:cs="宋体" w:hint="eastAsia"/>
                <w:color w:val="333333"/>
                <w:kern w:val="0"/>
                <w:sz w:val="24"/>
                <w:szCs w:val="24"/>
              </w:rPr>
              <w:t>（“北汽鹏龙”）</w:t>
            </w:r>
            <w:r w:rsidR="00E25FE0">
              <w:rPr>
                <w:rFonts w:ascii="宋体" w:hAnsi="宋体" w:cs="宋体" w:hint="eastAsia"/>
                <w:color w:val="333333"/>
                <w:kern w:val="0"/>
                <w:sz w:val="24"/>
                <w:szCs w:val="24"/>
              </w:rPr>
              <w:t>签署</w:t>
            </w:r>
            <w:r>
              <w:rPr>
                <w:rFonts w:ascii="宋体" w:hAnsi="宋体" w:cs="宋体" w:hint="eastAsia"/>
                <w:color w:val="333333"/>
                <w:kern w:val="0"/>
                <w:sz w:val="24"/>
                <w:szCs w:val="24"/>
              </w:rPr>
              <w:t>股权转让协议</w:t>
            </w:r>
            <w:r w:rsidR="00E25FE0">
              <w:rPr>
                <w:rFonts w:ascii="宋体" w:hAnsi="宋体" w:cs="宋体" w:hint="eastAsia"/>
                <w:color w:val="333333"/>
                <w:kern w:val="0"/>
                <w:sz w:val="24"/>
                <w:szCs w:val="24"/>
              </w:rPr>
              <w:t>，</w:t>
            </w:r>
            <w:r w:rsidR="00ED6F4F">
              <w:rPr>
                <w:rFonts w:ascii="宋体" w:hAnsi="宋体" w:cs="宋体" w:hint="eastAsia"/>
                <w:color w:val="333333"/>
                <w:kern w:val="0"/>
                <w:sz w:val="24"/>
                <w:szCs w:val="24"/>
              </w:rPr>
              <w:t>北汽鹏龙收购</w:t>
            </w:r>
            <w:r w:rsidRPr="000B0585">
              <w:rPr>
                <w:rFonts w:ascii="宋体" w:hAnsi="宋体" w:cs="宋体" w:hint="eastAsia"/>
                <w:color w:val="333333"/>
                <w:kern w:val="0"/>
                <w:sz w:val="24"/>
                <w:szCs w:val="24"/>
              </w:rPr>
              <w:t>北京伊诺盛北广广告有限公司</w:t>
            </w:r>
            <w:r>
              <w:rPr>
                <w:rFonts w:ascii="宋体" w:hAnsi="宋体" w:cs="宋体" w:hint="eastAsia"/>
                <w:color w:val="333333"/>
                <w:kern w:val="0"/>
                <w:sz w:val="24"/>
                <w:szCs w:val="24"/>
              </w:rPr>
              <w:t>（“伊诺盛北广”）</w:t>
            </w:r>
            <w:r w:rsidR="006B59B8">
              <w:rPr>
                <w:rFonts w:ascii="宋体" w:hAnsi="宋体" w:cs="宋体" w:hint="eastAsia"/>
                <w:color w:val="333333"/>
                <w:kern w:val="0"/>
                <w:sz w:val="24"/>
                <w:szCs w:val="24"/>
              </w:rPr>
              <w:t>4</w:t>
            </w:r>
            <w:r w:rsidR="006B59B8">
              <w:rPr>
                <w:rFonts w:ascii="宋体" w:hAnsi="宋体" w:cs="宋体"/>
                <w:color w:val="333333"/>
                <w:kern w:val="0"/>
                <w:sz w:val="24"/>
                <w:szCs w:val="24"/>
              </w:rPr>
              <w:t>9</w:t>
            </w:r>
            <w:r w:rsidR="006B59B8">
              <w:rPr>
                <w:rFonts w:ascii="宋体" w:hAnsi="宋体" w:cs="宋体" w:hint="eastAsia"/>
                <w:color w:val="333333"/>
                <w:kern w:val="0"/>
                <w:sz w:val="24"/>
                <w:szCs w:val="24"/>
              </w:rPr>
              <w:t>%的股权</w:t>
            </w:r>
            <w:r w:rsidR="0057720F">
              <w:rPr>
                <w:rFonts w:ascii="宋体" w:hAnsi="宋体" w:cs="宋体" w:hint="eastAsia"/>
                <w:color w:val="333333"/>
                <w:kern w:val="0"/>
                <w:sz w:val="24"/>
                <w:szCs w:val="24"/>
              </w:rPr>
              <w:t>。</w:t>
            </w:r>
            <w:r w:rsidR="006B59B8">
              <w:rPr>
                <w:rFonts w:ascii="宋体" w:hAnsi="宋体" w:cs="宋体" w:hint="eastAsia"/>
                <w:color w:val="333333"/>
                <w:kern w:val="0"/>
                <w:sz w:val="24"/>
                <w:szCs w:val="24"/>
              </w:rPr>
              <w:t>伊诺盛北广</w:t>
            </w:r>
            <w:r w:rsidR="00ED6F4F">
              <w:rPr>
                <w:rFonts w:ascii="宋体" w:hAnsi="宋体" w:cs="宋体" w:hint="eastAsia"/>
                <w:color w:val="333333"/>
                <w:kern w:val="0"/>
                <w:sz w:val="24"/>
                <w:szCs w:val="24"/>
              </w:rPr>
              <w:t>主要</w:t>
            </w:r>
            <w:r w:rsidR="006B59B8">
              <w:rPr>
                <w:rFonts w:ascii="宋体" w:hAnsi="宋体" w:cs="宋体" w:hint="eastAsia"/>
                <w:color w:val="333333"/>
                <w:kern w:val="0"/>
                <w:sz w:val="24"/>
                <w:szCs w:val="24"/>
              </w:rPr>
              <w:t>从事广告营销业务</w:t>
            </w:r>
            <w:r w:rsidR="00BE7F90">
              <w:rPr>
                <w:rFonts w:ascii="宋体" w:hAnsi="宋体" w:cs="宋体" w:hint="eastAsia"/>
                <w:color w:val="333333"/>
                <w:kern w:val="0"/>
                <w:sz w:val="24"/>
                <w:szCs w:val="24"/>
              </w:rPr>
              <w:t>。交易前</w:t>
            </w:r>
            <w:r w:rsidR="005E62CA">
              <w:rPr>
                <w:rFonts w:ascii="宋体" w:hAnsi="宋体" w:cs="宋体" w:hint="eastAsia"/>
                <w:color w:val="333333"/>
                <w:kern w:val="0"/>
                <w:sz w:val="24"/>
                <w:szCs w:val="24"/>
              </w:rPr>
              <w:t>，</w:t>
            </w:r>
            <w:r w:rsidR="00BE7F90">
              <w:rPr>
                <w:rFonts w:ascii="宋体" w:hAnsi="宋体" w:cs="宋体" w:hint="eastAsia"/>
                <w:color w:val="333333"/>
                <w:kern w:val="0"/>
                <w:sz w:val="24"/>
                <w:szCs w:val="24"/>
              </w:rPr>
              <w:t>世纪北广与株式会社伊诺盛分别持有伊诺盛北广5</w:t>
            </w:r>
            <w:r w:rsidR="00BE7F90">
              <w:rPr>
                <w:rFonts w:ascii="宋体" w:hAnsi="宋体" w:cs="宋体"/>
                <w:color w:val="333333"/>
                <w:kern w:val="0"/>
                <w:sz w:val="24"/>
                <w:szCs w:val="24"/>
              </w:rPr>
              <w:t>1</w:t>
            </w:r>
            <w:r w:rsidR="00BE7F90">
              <w:rPr>
                <w:rFonts w:ascii="宋体" w:hAnsi="宋体" w:cs="宋体" w:hint="eastAsia"/>
                <w:color w:val="333333"/>
                <w:kern w:val="0"/>
                <w:sz w:val="24"/>
                <w:szCs w:val="24"/>
              </w:rPr>
              <w:t>%，4</w:t>
            </w:r>
            <w:r w:rsidR="00BE7F90">
              <w:rPr>
                <w:rFonts w:ascii="宋体" w:hAnsi="宋体" w:cs="宋体"/>
                <w:color w:val="333333"/>
                <w:kern w:val="0"/>
                <w:sz w:val="24"/>
                <w:szCs w:val="24"/>
              </w:rPr>
              <w:t>9</w:t>
            </w:r>
            <w:r w:rsidR="00BE7F90">
              <w:rPr>
                <w:rFonts w:ascii="宋体" w:hAnsi="宋体" w:cs="宋体" w:hint="eastAsia"/>
                <w:color w:val="333333"/>
                <w:kern w:val="0"/>
                <w:sz w:val="24"/>
                <w:szCs w:val="24"/>
              </w:rPr>
              <w:t>%的股权</w:t>
            </w:r>
            <w:r w:rsidR="001C4264">
              <w:rPr>
                <w:rFonts w:ascii="宋体" w:hAnsi="宋体" w:cs="宋体" w:hint="eastAsia"/>
                <w:color w:val="333333"/>
                <w:kern w:val="0"/>
                <w:sz w:val="24"/>
                <w:szCs w:val="24"/>
              </w:rPr>
              <w:t>，共同控制伊诺盛北广。交易后，北汽鹏龙将持有伊诺盛北</w:t>
            </w:r>
            <w:r w:rsidR="005E62CA">
              <w:rPr>
                <w:rFonts w:ascii="宋体" w:hAnsi="宋体" w:cs="宋体" w:hint="eastAsia"/>
                <w:color w:val="333333"/>
                <w:kern w:val="0"/>
                <w:sz w:val="24"/>
                <w:szCs w:val="24"/>
              </w:rPr>
              <w:t>广</w:t>
            </w:r>
            <w:r w:rsidR="001C4264">
              <w:rPr>
                <w:rFonts w:ascii="宋体" w:hAnsi="宋体" w:cs="宋体" w:hint="eastAsia"/>
                <w:color w:val="333333"/>
                <w:kern w:val="0"/>
                <w:sz w:val="24"/>
                <w:szCs w:val="24"/>
              </w:rPr>
              <w:t>4</w:t>
            </w:r>
            <w:r w:rsidR="001C4264">
              <w:rPr>
                <w:rFonts w:ascii="宋体" w:hAnsi="宋体" w:cs="宋体"/>
                <w:color w:val="333333"/>
                <w:kern w:val="0"/>
                <w:sz w:val="24"/>
                <w:szCs w:val="24"/>
              </w:rPr>
              <w:t>9</w:t>
            </w:r>
            <w:r w:rsidR="001C4264">
              <w:rPr>
                <w:rFonts w:ascii="宋体" w:hAnsi="宋体" w:cs="宋体" w:hint="eastAsia"/>
                <w:color w:val="333333"/>
                <w:kern w:val="0"/>
                <w:sz w:val="24"/>
                <w:szCs w:val="24"/>
              </w:rPr>
              <w:t>%的股权，北汽鹏龙、株式会社伊诺盛</w:t>
            </w:r>
            <w:r w:rsidR="00C814D4">
              <w:rPr>
                <w:rFonts w:ascii="宋体" w:hAnsi="宋体" w:cs="宋体" w:hint="eastAsia"/>
                <w:color w:val="333333"/>
                <w:kern w:val="0"/>
                <w:sz w:val="24"/>
                <w:szCs w:val="24"/>
              </w:rPr>
              <w:t>共同控制伊诺盛北广。</w:t>
            </w:r>
          </w:p>
        </w:tc>
      </w:tr>
      <w:tr w:rsidR="0057720F" w14:paraId="6C997251" w14:textId="77777777">
        <w:trPr>
          <w:trHeight w:val="468"/>
        </w:trPr>
        <w:tc>
          <w:tcPr>
            <w:tcW w:w="1809" w:type="dxa"/>
            <w:vMerge w:val="restart"/>
            <w:shd w:val="clear" w:color="auto" w:fill="D9D9D9"/>
            <w:vAlign w:val="center"/>
          </w:tcPr>
          <w:p w14:paraId="2B942C07" w14:textId="77777777" w:rsidR="0057720F" w:rsidRDefault="0057720F">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参与集中的</w:t>
            </w:r>
          </w:p>
          <w:p w14:paraId="6E69DC3C" w14:textId="77777777" w:rsidR="0057720F" w:rsidRDefault="0057720F">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经营者简介</w:t>
            </w:r>
          </w:p>
        </w:tc>
        <w:tc>
          <w:tcPr>
            <w:tcW w:w="1796" w:type="dxa"/>
          </w:tcPr>
          <w:p w14:paraId="6E32E5E0" w14:textId="312855B9" w:rsidR="0057720F" w:rsidRDefault="0069672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北</w:t>
            </w:r>
            <w:r w:rsidR="0057720F">
              <w:rPr>
                <w:rFonts w:ascii="宋体" w:hAnsi="宋体" w:cs="宋体" w:hint="eastAsia"/>
                <w:color w:val="333333"/>
                <w:kern w:val="0"/>
                <w:sz w:val="24"/>
                <w:szCs w:val="24"/>
              </w:rPr>
              <w:t>汽鹏龙</w:t>
            </w:r>
          </w:p>
        </w:tc>
        <w:tc>
          <w:tcPr>
            <w:tcW w:w="5153" w:type="dxa"/>
          </w:tcPr>
          <w:p w14:paraId="31A9BAC9" w14:textId="1DEBB3C9" w:rsidR="0057720F" w:rsidRDefault="00CC1DA3">
            <w:pPr>
              <w:spacing w:line="500" w:lineRule="exact"/>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010</w:t>
            </w:r>
            <w:r w:rsidR="006543F6">
              <w:rPr>
                <w:rFonts w:ascii="宋体" w:hAnsi="宋体" w:cs="宋体" w:hint="eastAsia"/>
                <w:color w:val="333333"/>
                <w:kern w:val="0"/>
                <w:sz w:val="24"/>
                <w:szCs w:val="24"/>
              </w:rPr>
              <w:t>年</w:t>
            </w:r>
            <w:r>
              <w:rPr>
                <w:rFonts w:ascii="宋体" w:hAnsi="宋体" w:cs="宋体" w:hint="eastAsia"/>
                <w:color w:val="333333"/>
                <w:kern w:val="0"/>
                <w:sz w:val="24"/>
                <w:szCs w:val="24"/>
              </w:rPr>
              <w:t>1</w:t>
            </w:r>
            <w:r w:rsidR="0057720F">
              <w:rPr>
                <w:rFonts w:ascii="宋体" w:hAnsi="宋体" w:cs="宋体"/>
                <w:color w:val="333333"/>
                <w:kern w:val="0"/>
                <w:sz w:val="24"/>
                <w:szCs w:val="24"/>
              </w:rPr>
              <w:t>月</w:t>
            </w:r>
            <w:r>
              <w:rPr>
                <w:rFonts w:ascii="宋体" w:hAnsi="宋体" w:cs="宋体" w:hint="eastAsia"/>
                <w:color w:val="333333"/>
                <w:kern w:val="0"/>
                <w:sz w:val="24"/>
                <w:szCs w:val="24"/>
              </w:rPr>
              <w:t>8</w:t>
            </w:r>
            <w:r w:rsidR="0057720F">
              <w:rPr>
                <w:rFonts w:ascii="宋体" w:hAnsi="宋体" w:cs="宋体"/>
                <w:color w:val="333333"/>
                <w:kern w:val="0"/>
                <w:sz w:val="24"/>
                <w:szCs w:val="24"/>
              </w:rPr>
              <w:t>日</w:t>
            </w:r>
            <w:r w:rsidR="0057720F">
              <w:rPr>
                <w:rFonts w:ascii="宋体" w:hAnsi="宋体" w:cs="宋体" w:hint="eastAsia"/>
                <w:color w:val="333333"/>
                <w:kern w:val="0"/>
                <w:sz w:val="24"/>
                <w:szCs w:val="24"/>
              </w:rPr>
              <w:t>成立于中国</w:t>
            </w:r>
            <w:r>
              <w:rPr>
                <w:rFonts w:ascii="宋体" w:hAnsi="宋体" w:cs="宋体" w:hint="eastAsia"/>
                <w:color w:val="333333"/>
                <w:kern w:val="0"/>
                <w:sz w:val="24"/>
                <w:szCs w:val="24"/>
              </w:rPr>
              <w:t>北京</w:t>
            </w:r>
            <w:r w:rsidR="0057720F">
              <w:rPr>
                <w:rFonts w:ascii="宋体" w:hAnsi="宋体" w:cs="宋体" w:hint="eastAsia"/>
                <w:color w:val="333333"/>
                <w:kern w:val="0"/>
                <w:sz w:val="24"/>
                <w:szCs w:val="24"/>
              </w:rPr>
              <w:t>，主要从事</w:t>
            </w:r>
            <w:r w:rsidRPr="00CC1DA3">
              <w:rPr>
                <w:rFonts w:ascii="宋体" w:hAnsi="宋体" w:cs="宋体" w:hint="eastAsia"/>
                <w:color w:val="333333"/>
                <w:kern w:val="0"/>
                <w:sz w:val="24"/>
                <w:szCs w:val="24"/>
              </w:rPr>
              <w:t>汽车经销业务，且主要为梅赛德斯-奔驰、北京现代和</w:t>
            </w:r>
            <w:r w:rsidR="007D5560">
              <w:rPr>
                <w:rFonts w:ascii="宋体" w:hAnsi="宋体" w:cs="宋体" w:hint="eastAsia"/>
                <w:color w:val="333333"/>
                <w:kern w:val="0"/>
                <w:sz w:val="24"/>
                <w:szCs w:val="24"/>
              </w:rPr>
              <w:t>为</w:t>
            </w:r>
            <w:r w:rsidRPr="00CC1DA3">
              <w:rPr>
                <w:rFonts w:ascii="宋体" w:hAnsi="宋体" w:cs="宋体" w:hint="eastAsia"/>
                <w:color w:val="333333"/>
                <w:kern w:val="0"/>
                <w:sz w:val="24"/>
                <w:szCs w:val="24"/>
              </w:rPr>
              <w:t>北京品牌汽车提供销售及相关</w:t>
            </w:r>
            <w:r w:rsidR="0057720F">
              <w:rPr>
                <w:rFonts w:ascii="宋体" w:hAnsi="宋体" w:cs="宋体" w:hint="eastAsia"/>
                <w:color w:val="333333"/>
                <w:kern w:val="0"/>
                <w:sz w:val="24"/>
                <w:szCs w:val="24"/>
              </w:rPr>
              <w:t>业务。</w:t>
            </w:r>
          </w:p>
          <w:p w14:paraId="576F86F6" w14:textId="305940EC" w:rsidR="0057720F" w:rsidRDefault="0057720F">
            <w:pPr>
              <w:spacing w:line="500" w:lineRule="exact"/>
              <w:rPr>
                <w:rFonts w:ascii="宋体" w:hAnsi="宋体" w:cs="宋体"/>
                <w:color w:val="333333"/>
                <w:kern w:val="0"/>
                <w:sz w:val="24"/>
                <w:szCs w:val="24"/>
              </w:rPr>
            </w:pPr>
            <w:r>
              <w:rPr>
                <w:rFonts w:ascii="宋体" w:hAnsi="宋体" w:cs="宋体" w:hint="eastAsia"/>
                <w:color w:val="333333"/>
                <w:kern w:val="0"/>
                <w:sz w:val="24"/>
                <w:szCs w:val="24"/>
              </w:rPr>
              <w:t>最终控制人为</w:t>
            </w:r>
            <w:r w:rsidR="0030657F" w:rsidRPr="0030657F">
              <w:rPr>
                <w:rFonts w:ascii="宋体" w:hAnsi="宋体" w:cs="宋体" w:hint="eastAsia"/>
                <w:color w:val="333333"/>
                <w:kern w:val="0"/>
                <w:sz w:val="24"/>
                <w:szCs w:val="24"/>
              </w:rPr>
              <w:t>北京汽车集团有限公司</w:t>
            </w:r>
            <w:r>
              <w:rPr>
                <w:rFonts w:ascii="宋体" w:hAnsi="宋体" w:cs="宋体" w:hint="eastAsia"/>
                <w:color w:val="333333"/>
                <w:kern w:val="0"/>
                <w:sz w:val="24"/>
                <w:szCs w:val="24"/>
              </w:rPr>
              <w:t>。主要从事</w:t>
            </w:r>
            <w:r w:rsidR="0030657F" w:rsidRPr="0030657F">
              <w:rPr>
                <w:rFonts w:ascii="宋体" w:hAnsi="宋体" w:cs="宋体" w:hint="eastAsia"/>
                <w:color w:val="333333"/>
                <w:kern w:val="0"/>
                <w:sz w:val="24"/>
                <w:szCs w:val="24"/>
              </w:rPr>
              <w:t>整车制造、研发、零部件制造、金融、汽车服务贸易、通用航空、国际化业务和新能源汽车等</w:t>
            </w:r>
            <w:r>
              <w:rPr>
                <w:rFonts w:ascii="宋体" w:hAnsi="宋体" w:cs="宋体" w:hint="eastAsia"/>
                <w:color w:val="333333"/>
                <w:kern w:val="0"/>
                <w:sz w:val="24"/>
                <w:szCs w:val="24"/>
              </w:rPr>
              <w:t>业务。</w:t>
            </w:r>
          </w:p>
        </w:tc>
      </w:tr>
      <w:tr w:rsidR="0057720F" w14:paraId="4DEB9FFA" w14:textId="77777777">
        <w:trPr>
          <w:trHeight w:val="404"/>
        </w:trPr>
        <w:tc>
          <w:tcPr>
            <w:tcW w:w="1809" w:type="dxa"/>
            <w:vMerge/>
            <w:shd w:val="clear" w:color="auto" w:fill="D9D9D9"/>
            <w:vAlign w:val="center"/>
          </w:tcPr>
          <w:p w14:paraId="55C37D4B" w14:textId="77777777" w:rsidR="0057720F" w:rsidRDefault="0057720F">
            <w:pPr>
              <w:spacing w:line="500" w:lineRule="exact"/>
              <w:jc w:val="center"/>
              <w:rPr>
                <w:rFonts w:ascii="宋体" w:hAnsi="宋体" w:cs="宋体"/>
                <w:color w:val="333333"/>
                <w:kern w:val="0"/>
                <w:sz w:val="24"/>
                <w:szCs w:val="24"/>
              </w:rPr>
            </w:pPr>
          </w:p>
        </w:tc>
        <w:tc>
          <w:tcPr>
            <w:tcW w:w="1796" w:type="dxa"/>
          </w:tcPr>
          <w:p w14:paraId="47AA876E" w14:textId="3DD95770" w:rsidR="0057720F" w:rsidRDefault="0057720F">
            <w:pPr>
              <w:spacing w:line="500" w:lineRule="exact"/>
              <w:rPr>
                <w:rFonts w:ascii="宋体" w:hAnsi="宋体" w:cs="宋体"/>
                <w:color w:val="333333"/>
                <w:kern w:val="0"/>
                <w:sz w:val="24"/>
                <w:szCs w:val="24"/>
              </w:rPr>
            </w:pPr>
            <w:r>
              <w:rPr>
                <w:rFonts w:ascii="宋体" w:hAnsi="宋体" w:cs="宋体" w:hint="eastAsia"/>
                <w:color w:val="333333"/>
                <w:kern w:val="0"/>
                <w:sz w:val="24"/>
                <w:szCs w:val="24"/>
              </w:rPr>
              <w:t>株式会社伊诺盛</w:t>
            </w:r>
          </w:p>
        </w:tc>
        <w:tc>
          <w:tcPr>
            <w:tcW w:w="5153" w:type="dxa"/>
            <w:vAlign w:val="center"/>
          </w:tcPr>
          <w:p w14:paraId="741A50FD" w14:textId="5296B954" w:rsidR="0057720F" w:rsidRDefault="0069672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005</w:t>
            </w:r>
            <w:r w:rsidR="0057720F">
              <w:rPr>
                <w:rFonts w:ascii="宋体" w:hAnsi="宋体" w:cs="宋体" w:hint="eastAsia"/>
                <w:color w:val="333333"/>
                <w:kern w:val="0"/>
                <w:sz w:val="24"/>
                <w:szCs w:val="24"/>
              </w:rPr>
              <w:t>年</w:t>
            </w:r>
            <w:r>
              <w:rPr>
                <w:rFonts w:ascii="宋体" w:hAnsi="宋体" w:cs="宋体" w:hint="eastAsia"/>
                <w:color w:val="333333"/>
                <w:kern w:val="0"/>
                <w:sz w:val="24"/>
                <w:szCs w:val="24"/>
              </w:rPr>
              <w:t>5</w:t>
            </w:r>
            <w:r w:rsidR="0057720F">
              <w:rPr>
                <w:rFonts w:ascii="宋体" w:hAnsi="宋体" w:cs="宋体" w:hint="eastAsia"/>
                <w:color w:val="333333"/>
                <w:kern w:val="0"/>
                <w:sz w:val="24"/>
                <w:szCs w:val="24"/>
              </w:rPr>
              <w:t>月</w:t>
            </w:r>
            <w:r>
              <w:rPr>
                <w:rFonts w:ascii="宋体" w:hAnsi="宋体" w:cs="宋体" w:hint="eastAsia"/>
                <w:color w:val="333333"/>
                <w:kern w:val="0"/>
                <w:sz w:val="24"/>
                <w:szCs w:val="24"/>
              </w:rPr>
              <w:t>1</w:t>
            </w:r>
            <w:r>
              <w:rPr>
                <w:rFonts w:ascii="宋体" w:hAnsi="宋体" w:cs="宋体"/>
                <w:color w:val="333333"/>
                <w:kern w:val="0"/>
                <w:sz w:val="24"/>
                <w:szCs w:val="24"/>
              </w:rPr>
              <w:t>7</w:t>
            </w:r>
            <w:r w:rsidR="0057720F">
              <w:rPr>
                <w:rFonts w:ascii="宋体" w:hAnsi="宋体" w:cs="宋体" w:hint="eastAsia"/>
                <w:color w:val="333333"/>
                <w:kern w:val="0"/>
                <w:sz w:val="24"/>
                <w:szCs w:val="24"/>
              </w:rPr>
              <w:t>日成立于</w:t>
            </w:r>
            <w:r>
              <w:rPr>
                <w:rFonts w:ascii="宋体" w:hAnsi="宋体" w:cs="宋体" w:hint="eastAsia"/>
                <w:color w:val="333333"/>
                <w:kern w:val="0"/>
                <w:sz w:val="24"/>
                <w:szCs w:val="24"/>
              </w:rPr>
              <w:t>韩国首尔</w:t>
            </w:r>
            <w:r w:rsidR="0057720F">
              <w:rPr>
                <w:rFonts w:ascii="宋体" w:hAnsi="宋体" w:cs="宋体" w:hint="eastAsia"/>
                <w:color w:val="333333"/>
                <w:kern w:val="0"/>
                <w:sz w:val="24"/>
                <w:szCs w:val="24"/>
              </w:rPr>
              <w:t>，</w:t>
            </w:r>
            <w:r w:rsidR="0057720F" w:rsidRPr="00A94D39">
              <w:rPr>
                <w:rFonts w:ascii="宋体" w:hAnsi="宋体" w:cs="宋体" w:hint="eastAsia"/>
                <w:color w:val="333333"/>
                <w:kern w:val="0"/>
                <w:sz w:val="24"/>
                <w:szCs w:val="24"/>
              </w:rPr>
              <w:t>为</w:t>
            </w:r>
            <w:r>
              <w:rPr>
                <w:rFonts w:ascii="宋体" w:hAnsi="宋体" w:cs="宋体" w:hint="eastAsia"/>
                <w:color w:val="333333"/>
                <w:kern w:val="0"/>
                <w:sz w:val="24"/>
                <w:szCs w:val="24"/>
              </w:rPr>
              <w:t>韩国证券</w:t>
            </w:r>
            <w:r w:rsidR="0057720F" w:rsidRPr="00A94D39">
              <w:rPr>
                <w:rFonts w:ascii="宋体" w:hAnsi="宋体" w:cs="宋体" w:hint="eastAsia"/>
                <w:color w:val="333333"/>
                <w:kern w:val="0"/>
                <w:sz w:val="24"/>
                <w:szCs w:val="24"/>
              </w:rPr>
              <w:t>交易所上市公司</w:t>
            </w:r>
            <w:r w:rsidR="0057720F">
              <w:rPr>
                <w:rFonts w:ascii="宋体" w:hAnsi="宋体" w:cs="宋体" w:hint="eastAsia"/>
                <w:color w:val="333333"/>
                <w:kern w:val="0"/>
                <w:sz w:val="24"/>
                <w:szCs w:val="24"/>
              </w:rPr>
              <w:t>。主要从事</w:t>
            </w:r>
            <w:r w:rsidR="00F960E7" w:rsidRPr="00F960E7">
              <w:rPr>
                <w:rFonts w:ascii="宋体" w:hAnsi="宋体" w:cs="宋体" w:hint="eastAsia"/>
                <w:color w:val="333333"/>
                <w:kern w:val="0"/>
                <w:sz w:val="24"/>
                <w:szCs w:val="24"/>
              </w:rPr>
              <w:t>广告代理及广告制作业务</w:t>
            </w:r>
            <w:r w:rsidR="0057720F">
              <w:rPr>
                <w:rFonts w:ascii="宋体" w:hAnsi="宋体" w:cs="宋体" w:hint="eastAsia"/>
                <w:color w:val="333333"/>
                <w:kern w:val="0"/>
                <w:sz w:val="24"/>
                <w:szCs w:val="24"/>
              </w:rPr>
              <w:t>。</w:t>
            </w:r>
          </w:p>
          <w:p w14:paraId="30A1E56F" w14:textId="67D32569" w:rsidR="0057720F" w:rsidRDefault="00F960E7">
            <w:pPr>
              <w:spacing w:line="500" w:lineRule="exact"/>
              <w:rPr>
                <w:rFonts w:ascii="宋体" w:hAnsi="宋体" w:cs="宋体"/>
                <w:color w:val="333333"/>
                <w:kern w:val="0"/>
                <w:sz w:val="24"/>
                <w:szCs w:val="24"/>
              </w:rPr>
            </w:pPr>
            <w:r>
              <w:rPr>
                <w:rFonts w:ascii="宋体" w:hAnsi="宋体" w:cs="宋体" w:hint="eastAsia"/>
                <w:color w:val="333333"/>
                <w:kern w:val="0"/>
                <w:sz w:val="24"/>
                <w:szCs w:val="24"/>
              </w:rPr>
              <w:t>无最终控制人。</w:t>
            </w:r>
          </w:p>
        </w:tc>
      </w:tr>
      <w:tr w:rsidR="0057720F" w14:paraId="6AEBF191" w14:textId="77777777">
        <w:trPr>
          <w:trHeight w:val="404"/>
        </w:trPr>
        <w:tc>
          <w:tcPr>
            <w:tcW w:w="1809" w:type="dxa"/>
            <w:vMerge/>
            <w:shd w:val="clear" w:color="auto" w:fill="D9D9D9"/>
            <w:vAlign w:val="center"/>
          </w:tcPr>
          <w:p w14:paraId="4F13F0AE" w14:textId="77777777" w:rsidR="0057720F" w:rsidRDefault="0057720F">
            <w:pPr>
              <w:spacing w:line="500" w:lineRule="exact"/>
              <w:jc w:val="center"/>
              <w:rPr>
                <w:rFonts w:ascii="宋体" w:hAnsi="宋体" w:cs="宋体"/>
                <w:color w:val="333333"/>
                <w:kern w:val="0"/>
                <w:sz w:val="24"/>
                <w:szCs w:val="24"/>
              </w:rPr>
            </w:pPr>
          </w:p>
        </w:tc>
        <w:tc>
          <w:tcPr>
            <w:tcW w:w="1796" w:type="dxa"/>
          </w:tcPr>
          <w:p w14:paraId="4B052392" w14:textId="3B66A8DC" w:rsidR="0057720F" w:rsidRDefault="0057720F">
            <w:pPr>
              <w:spacing w:line="500" w:lineRule="exact"/>
              <w:rPr>
                <w:rFonts w:ascii="宋体" w:hAnsi="宋体" w:cs="宋体"/>
                <w:color w:val="333333"/>
                <w:kern w:val="0"/>
                <w:sz w:val="24"/>
                <w:szCs w:val="24"/>
              </w:rPr>
            </w:pPr>
            <w:r>
              <w:rPr>
                <w:rFonts w:ascii="宋体" w:hAnsi="宋体" w:cs="宋体" w:hint="eastAsia"/>
                <w:color w:val="333333"/>
                <w:kern w:val="0"/>
                <w:sz w:val="24"/>
                <w:szCs w:val="24"/>
              </w:rPr>
              <w:t>伊诺盛北广</w:t>
            </w:r>
          </w:p>
        </w:tc>
        <w:tc>
          <w:tcPr>
            <w:tcW w:w="5153" w:type="dxa"/>
            <w:vAlign w:val="center"/>
          </w:tcPr>
          <w:p w14:paraId="15A99974" w14:textId="77777777" w:rsidR="0057720F" w:rsidRDefault="00756D5A" w:rsidP="007D5560">
            <w:pPr>
              <w:spacing w:line="360" w:lineRule="auto"/>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009</w:t>
            </w:r>
            <w:r>
              <w:rPr>
                <w:rFonts w:ascii="宋体" w:hAnsi="宋体" w:cs="宋体" w:hint="eastAsia"/>
                <w:color w:val="333333"/>
                <w:kern w:val="0"/>
                <w:sz w:val="24"/>
                <w:szCs w:val="24"/>
              </w:rPr>
              <w:t>年1</w:t>
            </w:r>
            <w:r>
              <w:rPr>
                <w:rFonts w:ascii="宋体" w:hAnsi="宋体" w:cs="宋体"/>
                <w:color w:val="333333"/>
                <w:kern w:val="0"/>
                <w:sz w:val="24"/>
                <w:szCs w:val="24"/>
              </w:rPr>
              <w:t>2</w:t>
            </w:r>
            <w:r>
              <w:rPr>
                <w:rFonts w:ascii="宋体" w:hAnsi="宋体" w:cs="宋体" w:hint="eastAsia"/>
                <w:color w:val="333333"/>
                <w:kern w:val="0"/>
                <w:sz w:val="24"/>
                <w:szCs w:val="24"/>
              </w:rPr>
              <w:t>月9日成立于中国北京。主要</w:t>
            </w:r>
            <w:r w:rsidRPr="00756D5A">
              <w:rPr>
                <w:rFonts w:ascii="宋体" w:hAnsi="宋体" w:cs="宋体" w:hint="eastAsia"/>
                <w:color w:val="333333"/>
                <w:kern w:val="0"/>
                <w:sz w:val="24"/>
                <w:szCs w:val="24"/>
              </w:rPr>
              <w:t>为北京现代汽车有限公司提供专业的媒体整合行销服务。</w:t>
            </w:r>
          </w:p>
          <w:p w14:paraId="1F326225" w14:textId="0547629E" w:rsidR="00756D5A" w:rsidRPr="0092194C" w:rsidRDefault="00893CB0" w:rsidP="007D5560">
            <w:pPr>
              <w:pStyle w:val="a0"/>
              <w:spacing w:line="360" w:lineRule="auto"/>
              <w:rPr>
                <w:sz w:val="24"/>
                <w:szCs w:val="24"/>
              </w:rPr>
            </w:pPr>
            <w:r>
              <w:rPr>
                <w:rFonts w:hint="eastAsia"/>
                <w:sz w:val="24"/>
                <w:szCs w:val="24"/>
              </w:rPr>
              <w:t>伊诺盛北广的最终控制人为北汽集团和株式会</w:t>
            </w:r>
            <w:r>
              <w:rPr>
                <w:rFonts w:hint="eastAsia"/>
                <w:sz w:val="24"/>
                <w:szCs w:val="24"/>
              </w:rPr>
              <w:lastRenderedPageBreak/>
              <w:t>社伊诺盛。其中，北汽集团的主要业务如上所述；株式会社伊诺盛的</w:t>
            </w:r>
            <w:r w:rsidR="00993318">
              <w:rPr>
                <w:rFonts w:hint="eastAsia"/>
                <w:sz w:val="24"/>
                <w:szCs w:val="24"/>
              </w:rPr>
              <w:t>主要业务如上所述。</w:t>
            </w:r>
          </w:p>
        </w:tc>
      </w:tr>
      <w:tr w:rsidR="0016337D" w14:paraId="683749BB" w14:textId="77777777">
        <w:trPr>
          <w:trHeight w:val="279"/>
        </w:trPr>
        <w:tc>
          <w:tcPr>
            <w:tcW w:w="1809" w:type="dxa"/>
            <w:vMerge w:val="restart"/>
            <w:shd w:val="clear" w:color="auto" w:fill="D9D9D9"/>
            <w:vAlign w:val="center"/>
          </w:tcPr>
          <w:p w14:paraId="63650CB0"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lastRenderedPageBreak/>
              <w:t>简易案件理由（可以单选，也可以多选）</w:t>
            </w:r>
          </w:p>
        </w:tc>
        <w:tc>
          <w:tcPr>
            <w:tcW w:w="6949" w:type="dxa"/>
            <w:gridSpan w:val="2"/>
          </w:tcPr>
          <w:p w14:paraId="36A4B818" w14:textId="2A4F13CC" w:rsidR="0016337D" w:rsidRDefault="00DC2ACC">
            <w:pPr>
              <w:spacing w:line="500" w:lineRule="exact"/>
              <w:rPr>
                <w:rFonts w:ascii="宋体" w:hAnsi="宋体" w:cs="宋体"/>
                <w:color w:val="333333"/>
                <w:kern w:val="0"/>
                <w:sz w:val="24"/>
                <w:szCs w:val="24"/>
              </w:rPr>
            </w:pPr>
            <w:r>
              <w:rPr>
                <w:rFonts w:ascii="宋体" w:hAnsi="宋体" w:cs="宋体" w:hint="eastAsia"/>
                <w:color w:val="333333"/>
                <w:kern w:val="0"/>
                <w:sz w:val="24"/>
                <w:szCs w:val="24"/>
              </w:rPr>
              <w:sym w:font="Wingdings" w:char="F0FE"/>
            </w:r>
            <w:r w:rsidR="00E25FE0">
              <w:rPr>
                <w:rFonts w:ascii="宋体" w:hAnsi="宋体" w:cs="宋体" w:hint="eastAsia"/>
                <w:color w:val="333333"/>
                <w:kern w:val="0"/>
                <w:sz w:val="24"/>
                <w:szCs w:val="24"/>
              </w:rPr>
              <w:t>1.在同一相关市场，所有参与集中的经营者所占市场份额之和小于15%。</w:t>
            </w:r>
          </w:p>
        </w:tc>
      </w:tr>
      <w:tr w:rsidR="0016337D" w14:paraId="1516F62A" w14:textId="77777777">
        <w:trPr>
          <w:trHeight w:val="330"/>
        </w:trPr>
        <w:tc>
          <w:tcPr>
            <w:tcW w:w="1809" w:type="dxa"/>
            <w:vMerge/>
            <w:shd w:val="clear" w:color="auto" w:fill="D9D9D9"/>
            <w:vAlign w:val="center"/>
          </w:tcPr>
          <w:p w14:paraId="2C14830C"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29F41D5B" w14:textId="4BAB9D30" w:rsidR="0016337D" w:rsidRDefault="00F2523C">
            <w:pPr>
              <w:spacing w:line="500" w:lineRule="exact"/>
              <w:rPr>
                <w:rFonts w:ascii="宋体" w:hAnsi="宋体" w:cs="宋体"/>
                <w:color w:val="333333"/>
                <w:kern w:val="0"/>
                <w:sz w:val="24"/>
                <w:szCs w:val="24"/>
              </w:rPr>
            </w:pPr>
            <w:r>
              <w:rPr>
                <w:rFonts w:ascii="宋体" w:hAnsi="宋体" w:cs="宋体" w:hint="eastAsia"/>
                <w:color w:val="333333"/>
                <w:kern w:val="0"/>
                <w:sz w:val="24"/>
                <w:szCs w:val="24"/>
              </w:rPr>
              <w:t>□</w:t>
            </w:r>
            <w:r w:rsidR="00E25FE0">
              <w:rPr>
                <w:rFonts w:ascii="宋体" w:hAnsi="宋体" w:cs="宋体" w:hint="eastAsia"/>
                <w:color w:val="333333"/>
                <w:kern w:val="0"/>
                <w:sz w:val="24"/>
                <w:szCs w:val="24"/>
              </w:rPr>
              <w:t>2.存在上下游关系的参与集中的经营者，在上下游市场所占的市场份额均小于25%。</w:t>
            </w:r>
          </w:p>
        </w:tc>
      </w:tr>
      <w:tr w:rsidR="0016337D" w14:paraId="2C343E83" w14:textId="77777777">
        <w:trPr>
          <w:trHeight w:val="285"/>
        </w:trPr>
        <w:tc>
          <w:tcPr>
            <w:tcW w:w="1809" w:type="dxa"/>
            <w:vMerge/>
            <w:shd w:val="clear" w:color="auto" w:fill="D9D9D9"/>
            <w:vAlign w:val="center"/>
          </w:tcPr>
          <w:p w14:paraId="2CEE7563"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531A1F6B" w14:textId="145A6423" w:rsidR="0016337D" w:rsidRDefault="00F87AFD">
            <w:pPr>
              <w:spacing w:line="500" w:lineRule="exact"/>
              <w:rPr>
                <w:rFonts w:ascii="宋体" w:hAnsi="宋体" w:cs="宋体"/>
                <w:color w:val="333333"/>
                <w:kern w:val="0"/>
                <w:sz w:val="24"/>
                <w:szCs w:val="24"/>
              </w:rPr>
            </w:pPr>
            <w:r>
              <w:rPr>
                <w:rFonts w:ascii="宋体" w:hAnsi="宋体" w:cs="宋体" w:hint="eastAsia"/>
                <w:color w:val="333333"/>
                <w:kern w:val="0"/>
                <w:sz w:val="24"/>
                <w:szCs w:val="24"/>
              </w:rPr>
              <w:t>□</w:t>
            </w:r>
            <w:r w:rsidR="00E25FE0">
              <w:rPr>
                <w:rFonts w:ascii="宋体" w:hAnsi="宋体" w:cs="宋体" w:hint="eastAsia"/>
                <w:color w:val="333333"/>
                <w:kern w:val="0"/>
                <w:sz w:val="24"/>
                <w:szCs w:val="24"/>
              </w:rPr>
              <w:t>3.不在同一相关市场、也不存在上下游关系的参与集中的经营者，在与交易有关的每个市场所占的份额均小于25%。</w:t>
            </w:r>
          </w:p>
        </w:tc>
      </w:tr>
      <w:tr w:rsidR="0016337D" w14:paraId="5155DB45" w14:textId="77777777">
        <w:trPr>
          <w:trHeight w:val="870"/>
        </w:trPr>
        <w:tc>
          <w:tcPr>
            <w:tcW w:w="1809" w:type="dxa"/>
            <w:vMerge/>
            <w:shd w:val="clear" w:color="auto" w:fill="D9D9D9"/>
            <w:vAlign w:val="center"/>
          </w:tcPr>
          <w:p w14:paraId="6B4EFDFB"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50727095"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□4.参与集中的经营者在中国境外设立合营企业，合营企业不在中国境内从事经济活动。</w:t>
            </w:r>
          </w:p>
        </w:tc>
      </w:tr>
      <w:tr w:rsidR="0016337D" w14:paraId="1EF10A26" w14:textId="77777777">
        <w:trPr>
          <w:trHeight w:val="264"/>
        </w:trPr>
        <w:tc>
          <w:tcPr>
            <w:tcW w:w="1809" w:type="dxa"/>
            <w:vMerge/>
            <w:shd w:val="clear" w:color="auto" w:fill="D9D9D9"/>
            <w:vAlign w:val="center"/>
          </w:tcPr>
          <w:p w14:paraId="65C9C96B"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09410888"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□5.参与集中的经营者收购境外企业股权或资产的，该境外企业不在中国境内从事经济活动。</w:t>
            </w:r>
          </w:p>
        </w:tc>
      </w:tr>
      <w:tr w:rsidR="0016337D" w14:paraId="047C2FE8" w14:textId="77777777">
        <w:trPr>
          <w:trHeight w:val="345"/>
        </w:trPr>
        <w:tc>
          <w:tcPr>
            <w:tcW w:w="1809" w:type="dxa"/>
            <w:vMerge/>
            <w:shd w:val="clear" w:color="auto" w:fill="D9D9D9"/>
            <w:vAlign w:val="center"/>
          </w:tcPr>
          <w:p w14:paraId="201F04E3"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610B2AF7"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□6.由两个以上的经营者共同控制的合营企业，通过集中被其中一个或一个以上经营者控制。</w:t>
            </w:r>
          </w:p>
        </w:tc>
      </w:tr>
      <w:tr w:rsidR="0016337D" w14:paraId="59C560C6" w14:textId="77777777">
        <w:tc>
          <w:tcPr>
            <w:tcW w:w="1809" w:type="dxa"/>
            <w:shd w:val="clear" w:color="auto" w:fill="D9D9D9"/>
            <w:vAlign w:val="center"/>
          </w:tcPr>
          <w:p w14:paraId="2B469985"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备注</w:t>
            </w:r>
          </w:p>
        </w:tc>
        <w:tc>
          <w:tcPr>
            <w:tcW w:w="6949" w:type="dxa"/>
            <w:gridSpan w:val="2"/>
          </w:tcPr>
          <w:p w14:paraId="4E7C4CAC" w14:textId="1569FFAA" w:rsidR="0016337D" w:rsidRDefault="00E34E03">
            <w:pPr>
              <w:spacing w:line="500" w:lineRule="exact"/>
              <w:rPr>
                <w:rFonts w:ascii="宋体" w:hAnsi="宋体" w:cs="宋体"/>
                <w:b/>
                <w:bCs/>
                <w:color w:val="333333"/>
                <w:kern w:val="0"/>
                <w:sz w:val="24"/>
                <w:szCs w:val="24"/>
              </w:rPr>
            </w:pPr>
            <w:bookmarkStart w:id="0" w:name="_Hlk107148666"/>
            <w:r>
              <w:rPr>
                <w:rFonts w:ascii="宋体" w:hAnsi="宋体" w:cs="宋体" w:hint="eastAsia"/>
                <w:b/>
                <w:bCs/>
                <w:color w:val="333333"/>
                <w:kern w:val="0"/>
                <w:sz w:val="24"/>
                <w:szCs w:val="24"/>
              </w:rPr>
              <w:t>横向重叠</w:t>
            </w:r>
            <w:r w:rsidR="00E25FE0">
              <w:rPr>
                <w:rFonts w:ascii="宋体" w:hAnsi="宋体" w:cs="宋体" w:hint="eastAsia"/>
                <w:b/>
                <w:bCs/>
                <w:color w:val="333333"/>
                <w:kern w:val="0"/>
                <w:sz w:val="24"/>
                <w:szCs w:val="24"/>
              </w:rPr>
              <w:t>：</w:t>
            </w:r>
          </w:p>
          <w:p w14:paraId="5A4FACD8" w14:textId="445C01D9" w:rsidR="00E34E03" w:rsidRPr="00C53926" w:rsidRDefault="00D252BB" w:rsidP="007D5560">
            <w:pPr>
              <w:widowControl/>
              <w:spacing w:line="360" w:lineRule="auto"/>
              <w:rPr>
                <w:rFonts w:ascii="宋体" w:hAnsi="宋体" w:cs="宋体"/>
                <w:color w:val="333333"/>
                <w:kern w:val="0"/>
                <w:sz w:val="24"/>
                <w:szCs w:val="24"/>
              </w:rPr>
            </w:pPr>
            <w:r w:rsidRPr="00C53926">
              <w:rPr>
                <w:rFonts w:ascii="宋体" w:hAnsi="宋体" w:cs="宋体" w:hint="eastAsia"/>
                <w:color w:val="333333"/>
                <w:kern w:val="0"/>
                <w:sz w:val="24"/>
                <w:szCs w:val="24"/>
              </w:rPr>
              <w:t>2</w:t>
            </w:r>
            <w:r w:rsidRPr="00C53926">
              <w:rPr>
                <w:rFonts w:ascii="宋体" w:hAnsi="宋体" w:cs="宋体"/>
                <w:color w:val="333333"/>
                <w:kern w:val="0"/>
                <w:sz w:val="24"/>
                <w:szCs w:val="24"/>
              </w:rPr>
              <w:t>021</w:t>
            </w:r>
            <w:r w:rsidRPr="00C53926">
              <w:rPr>
                <w:rFonts w:ascii="宋体" w:hAnsi="宋体" w:cs="宋体" w:hint="eastAsia"/>
                <w:color w:val="333333"/>
                <w:kern w:val="0"/>
                <w:sz w:val="24"/>
                <w:szCs w:val="24"/>
              </w:rPr>
              <w:t>年中国境内广告营销市场：</w:t>
            </w:r>
          </w:p>
          <w:p w14:paraId="18BFC8A3" w14:textId="5B21A2FF" w:rsidR="00D252BB" w:rsidRDefault="00D252BB" w:rsidP="007D5560">
            <w:pPr>
              <w:pStyle w:val="a0"/>
              <w:spacing w:line="360" w:lineRule="auto"/>
              <w:rPr>
                <w:sz w:val="24"/>
                <w:szCs w:val="24"/>
              </w:rPr>
            </w:pPr>
            <w:r w:rsidRPr="00C53926">
              <w:rPr>
                <w:rFonts w:hint="eastAsia"/>
                <w:sz w:val="24"/>
                <w:szCs w:val="24"/>
              </w:rPr>
              <w:t>伊诺盛北广：</w:t>
            </w:r>
            <w:r w:rsidR="00C53926" w:rsidRPr="00C53926">
              <w:rPr>
                <w:rFonts w:hint="eastAsia"/>
                <w:sz w:val="24"/>
                <w:szCs w:val="24"/>
              </w:rPr>
              <w:t>0-</w:t>
            </w:r>
            <w:r w:rsidR="00C53926" w:rsidRPr="00C53926">
              <w:rPr>
                <w:sz w:val="24"/>
                <w:szCs w:val="24"/>
              </w:rPr>
              <w:t>5</w:t>
            </w:r>
            <w:r w:rsidR="00C53926" w:rsidRPr="00C53926">
              <w:rPr>
                <w:rFonts w:hint="eastAsia"/>
                <w:sz w:val="24"/>
                <w:szCs w:val="24"/>
              </w:rPr>
              <w:t>%</w:t>
            </w:r>
            <w:r w:rsidRPr="00C53926">
              <w:rPr>
                <w:rFonts w:hint="eastAsia"/>
                <w:sz w:val="24"/>
                <w:szCs w:val="24"/>
              </w:rPr>
              <w:t>，株式会社伊诺盛：</w:t>
            </w:r>
            <w:r w:rsidR="00940E19">
              <w:rPr>
                <w:rFonts w:hint="eastAsia"/>
                <w:sz w:val="24"/>
                <w:szCs w:val="24"/>
              </w:rPr>
              <w:t>0-</w:t>
            </w:r>
            <w:r w:rsidR="00940E19">
              <w:rPr>
                <w:sz w:val="24"/>
                <w:szCs w:val="24"/>
              </w:rPr>
              <w:t>5</w:t>
            </w:r>
            <w:r w:rsidR="00940E19">
              <w:rPr>
                <w:rFonts w:hint="eastAsia"/>
                <w:sz w:val="24"/>
                <w:szCs w:val="24"/>
              </w:rPr>
              <w:t>%</w:t>
            </w:r>
            <w:r w:rsidRPr="00C53926">
              <w:rPr>
                <w:rFonts w:hint="eastAsia"/>
                <w:sz w:val="24"/>
                <w:szCs w:val="24"/>
              </w:rPr>
              <w:t>，各方合并：</w:t>
            </w:r>
            <w:r w:rsidR="00940E19">
              <w:rPr>
                <w:rFonts w:hint="eastAsia"/>
                <w:sz w:val="24"/>
                <w:szCs w:val="24"/>
              </w:rPr>
              <w:t>0-</w:t>
            </w:r>
            <w:r w:rsidR="00940E19">
              <w:rPr>
                <w:sz w:val="24"/>
                <w:szCs w:val="24"/>
              </w:rPr>
              <w:t>5</w:t>
            </w:r>
            <w:r w:rsidR="00940E19">
              <w:rPr>
                <w:rFonts w:hint="eastAsia"/>
                <w:sz w:val="24"/>
                <w:szCs w:val="24"/>
              </w:rPr>
              <w:t>%</w:t>
            </w:r>
            <w:r w:rsidR="00FF2584">
              <w:rPr>
                <w:rFonts w:hint="eastAsia"/>
                <w:sz w:val="24"/>
                <w:szCs w:val="24"/>
              </w:rPr>
              <w:t>。</w:t>
            </w:r>
          </w:p>
          <w:p w14:paraId="0337C029" w14:textId="018D4975" w:rsidR="00F87AFD" w:rsidRPr="006D160A" w:rsidRDefault="00F87AFD" w:rsidP="007D5560">
            <w:pPr>
              <w:pStyle w:val="a0"/>
              <w:spacing w:line="360" w:lineRule="auto"/>
              <w:rPr>
                <w:rFonts w:ascii="宋体" w:hAnsi="宋体"/>
                <w:b/>
                <w:bCs/>
                <w:sz w:val="24"/>
                <w:szCs w:val="24"/>
              </w:rPr>
            </w:pPr>
            <w:r w:rsidRPr="006D160A">
              <w:rPr>
                <w:rFonts w:ascii="宋体" w:hAnsi="宋体" w:hint="eastAsia"/>
                <w:b/>
                <w:bCs/>
                <w:sz w:val="24"/>
                <w:szCs w:val="24"/>
              </w:rPr>
              <w:t>纵向关联：</w:t>
            </w:r>
          </w:p>
          <w:bookmarkEnd w:id="0"/>
          <w:p w14:paraId="4A953955" w14:textId="11BA133B" w:rsidR="0016337D" w:rsidRDefault="00F2523C" w:rsidP="00F2523C">
            <w:pPr>
              <w:pStyle w:val="a0"/>
              <w:spacing w:line="360" w:lineRule="auto"/>
              <w:rPr>
                <w:rFonts w:ascii="宋体" w:hAnsi="宋体" w:cs="宋体"/>
                <w:color w:val="333333"/>
                <w:kern w:val="0"/>
                <w:sz w:val="24"/>
                <w:szCs w:val="24"/>
              </w:rPr>
            </w:pPr>
            <w:r>
              <w:rPr>
                <w:rFonts w:ascii="宋体" w:hAnsi="宋体" w:hint="eastAsia"/>
                <w:sz w:val="24"/>
                <w:szCs w:val="24"/>
              </w:rPr>
              <w:t>无</w:t>
            </w:r>
          </w:p>
        </w:tc>
      </w:tr>
    </w:tbl>
    <w:p w14:paraId="041E5F2E" w14:textId="77777777" w:rsidR="0016337D" w:rsidRPr="002E7882" w:rsidRDefault="0016337D"/>
    <w:sectPr w:rsidR="0016337D" w:rsidRPr="002E78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E5270" w14:textId="77777777" w:rsidR="006C0E54" w:rsidRDefault="006C0E54" w:rsidP="002E7882">
      <w:r>
        <w:separator/>
      </w:r>
    </w:p>
  </w:endnote>
  <w:endnote w:type="continuationSeparator" w:id="0">
    <w:p w14:paraId="75EC32FC" w14:textId="77777777" w:rsidR="006C0E54" w:rsidRDefault="006C0E54" w:rsidP="002E7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24A56" w14:textId="77777777" w:rsidR="006C0E54" w:rsidRDefault="006C0E54" w:rsidP="002E7882">
      <w:r>
        <w:separator/>
      </w:r>
    </w:p>
  </w:footnote>
  <w:footnote w:type="continuationSeparator" w:id="0">
    <w:p w14:paraId="69338251" w14:textId="77777777" w:rsidR="006C0E54" w:rsidRDefault="006C0E54" w:rsidP="002E78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B97D91A0"/>
    <w:rsid w:val="BBD7FF27"/>
    <w:rsid w:val="BDC3CC9C"/>
    <w:rsid w:val="CDEDBA1C"/>
    <w:rsid w:val="DE7E2FCE"/>
    <w:rsid w:val="DF5F5894"/>
    <w:rsid w:val="DF777BF6"/>
    <w:rsid w:val="E7DEBB07"/>
    <w:rsid w:val="EFC6D171"/>
    <w:rsid w:val="EFF7E097"/>
    <w:rsid w:val="F77E2060"/>
    <w:rsid w:val="F7B95929"/>
    <w:rsid w:val="F7DAFF9E"/>
    <w:rsid w:val="F9FF91F1"/>
    <w:rsid w:val="FBBE9D1B"/>
    <w:rsid w:val="FF5B437D"/>
    <w:rsid w:val="FFBF8E37"/>
    <w:rsid w:val="FFDBCDEE"/>
    <w:rsid w:val="0002743A"/>
    <w:rsid w:val="00037065"/>
    <w:rsid w:val="000A595E"/>
    <w:rsid w:val="000B0585"/>
    <w:rsid w:val="000B1670"/>
    <w:rsid w:val="000C5A2E"/>
    <w:rsid w:val="000D0A21"/>
    <w:rsid w:val="000D522A"/>
    <w:rsid w:val="000D7EBA"/>
    <w:rsid w:val="001164CD"/>
    <w:rsid w:val="00155717"/>
    <w:rsid w:val="0016337D"/>
    <w:rsid w:val="001837A3"/>
    <w:rsid w:val="001B55B8"/>
    <w:rsid w:val="001B5F1F"/>
    <w:rsid w:val="001C4264"/>
    <w:rsid w:val="001D3617"/>
    <w:rsid w:val="00267562"/>
    <w:rsid w:val="002D5728"/>
    <w:rsid w:val="002E7882"/>
    <w:rsid w:val="0030657F"/>
    <w:rsid w:val="003A5438"/>
    <w:rsid w:val="003B02A8"/>
    <w:rsid w:val="003C0AEB"/>
    <w:rsid w:val="003D3E93"/>
    <w:rsid w:val="003D6FF9"/>
    <w:rsid w:val="004840F6"/>
    <w:rsid w:val="004970D7"/>
    <w:rsid w:val="004E37A4"/>
    <w:rsid w:val="004F7688"/>
    <w:rsid w:val="00524F5D"/>
    <w:rsid w:val="005345F6"/>
    <w:rsid w:val="0057720F"/>
    <w:rsid w:val="0059541B"/>
    <w:rsid w:val="005A08A6"/>
    <w:rsid w:val="005E62CA"/>
    <w:rsid w:val="006057B9"/>
    <w:rsid w:val="00605EF5"/>
    <w:rsid w:val="00606730"/>
    <w:rsid w:val="006075F8"/>
    <w:rsid w:val="00613C42"/>
    <w:rsid w:val="006233A9"/>
    <w:rsid w:val="00627646"/>
    <w:rsid w:val="006467D8"/>
    <w:rsid w:val="006543F6"/>
    <w:rsid w:val="00696720"/>
    <w:rsid w:val="006A026A"/>
    <w:rsid w:val="006A31A6"/>
    <w:rsid w:val="006A3506"/>
    <w:rsid w:val="006A531B"/>
    <w:rsid w:val="006B59B8"/>
    <w:rsid w:val="006B7B9E"/>
    <w:rsid w:val="006C0E54"/>
    <w:rsid w:val="006D160A"/>
    <w:rsid w:val="006F50E5"/>
    <w:rsid w:val="006F7693"/>
    <w:rsid w:val="00710140"/>
    <w:rsid w:val="0073535E"/>
    <w:rsid w:val="0075621B"/>
    <w:rsid w:val="00756D5A"/>
    <w:rsid w:val="00763A7D"/>
    <w:rsid w:val="00785680"/>
    <w:rsid w:val="00786F44"/>
    <w:rsid w:val="007979FD"/>
    <w:rsid w:val="007A14D7"/>
    <w:rsid w:val="007D29F4"/>
    <w:rsid w:val="007D5560"/>
    <w:rsid w:val="007E4E52"/>
    <w:rsid w:val="007F2275"/>
    <w:rsid w:val="007F6F06"/>
    <w:rsid w:val="00820404"/>
    <w:rsid w:val="008651B3"/>
    <w:rsid w:val="00874A27"/>
    <w:rsid w:val="008766E1"/>
    <w:rsid w:val="00893CB0"/>
    <w:rsid w:val="008A1427"/>
    <w:rsid w:val="008A7012"/>
    <w:rsid w:val="008B6F16"/>
    <w:rsid w:val="00915F0F"/>
    <w:rsid w:val="00917987"/>
    <w:rsid w:val="0092194C"/>
    <w:rsid w:val="00940E19"/>
    <w:rsid w:val="009524A1"/>
    <w:rsid w:val="009532DF"/>
    <w:rsid w:val="0095543B"/>
    <w:rsid w:val="00981A1F"/>
    <w:rsid w:val="009849A5"/>
    <w:rsid w:val="00993318"/>
    <w:rsid w:val="00997019"/>
    <w:rsid w:val="009A5029"/>
    <w:rsid w:val="009C5734"/>
    <w:rsid w:val="009D38D5"/>
    <w:rsid w:val="00A46D26"/>
    <w:rsid w:val="00A53F26"/>
    <w:rsid w:val="00A94D39"/>
    <w:rsid w:val="00AA0CC5"/>
    <w:rsid w:val="00AC6D0C"/>
    <w:rsid w:val="00B16AFE"/>
    <w:rsid w:val="00B53775"/>
    <w:rsid w:val="00B53F3A"/>
    <w:rsid w:val="00B565BF"/>
    <w:rsid w:val="00B65DD5"/>
    <w:rsid w:val="00B70B53"/>
    <w:rsid w:val="00B81057"/>
    <w:rsid w:val="00BD10B6"/>
    <w:rsid w:val="00BD72D5"/>
    <w:rsid w:val="00BE7F90"/>
    <w:rsid w:val="00C01D69"/>
    <w:rsid w:val="00C07076"/>
    <w:rsid w:val="00C33DFE"/>
    <w:rsid w:val="00C53926"/>
    <w:rsid w:val="00C739DB"/>
    <w:rsid w:val="00C76F42"/>
    <w:rsid w:val="00C814D4"/>
    <w:rsid w:val="00C84C92"/>
    <w:rsid w:val="00CB00DF"/>
    <w:rsid w:val="00CC1DA3"/>
    <w:rsid w:val="00CE2214"/>
    <w:rsid w:val="00D252BB"/>
    <w:rsid w:val="00D3579B"/>
    <w:rsid w:val="00D73C72"/>
    <w:rsid w:val="00D8644E"/>
    <w:rsid w:val="00DC2ACC"/>
    <w:rsid w:val="00DD7B6E"/>
    <w:rsid w:val="00E054A0"/>
    <w:rsid w:val="00E0592B"/>
    <w:rsid w:val="00E25FE0"/>
    <w:rsid w:val="00E27E3E"/>
    <w:rsid w:val="00E31738"/>
    <w:rsid w:val="00E34E03"/>
    <w:rsid w:val="00E86786"/>
    <w:rsid w:val="00EA42EB"/>
    <w:rsid w:val="00ED2F80"/>
    <w:rsid w:val="00ED6F4F"/>
    <w:rsid w:val="00EE1037"/>
    <w:rsid w:val="00F06384"/>
    <w:rsid w:val="00F1624E"/>
    <w:rsid w:val="00F1742E"/>
    <w:rsid w:val="00F225C8"/>
    <w:rsid w:val="00F2523C"/>
    <w:rsid w:val="00F32F8A"/>
    <w:rsid w:val="00F41383"/>
    <w:rsid w:val="00F810AA"/>
    <w:rsid w:val="00F861F1"/>
    <w:rsid w:val="00F87AFD"/>
    <w:rsid w:val="00F960E7"/>
    <w:rsid w:val="00FA7619"/>
    <w:rsid w:val="00FB43EC"/>
    <w:rsid w:val="00FB4B87"/>
    <w:rsid w:val="00FB6B40"/>
    <w:rsid w:val="00FC3410"/>
    <w:rsid w:val="00FF2584"/>
    <w:rsid w:val="25BD2EAA"/>
    <w:rsid w:val="3DDE320D"/>
    <w:rsid w:val="3F4E9FD8"/>
    <w:rsid w:val="3FDFA4DA"/>
    <w:rsid w:val="47BF5305"/>
    <w:rsid w:val="4A265CBF"/>
    <w:rsid w:val="4F7EB90D"/>
    <w:rsid w:val="5DBAA300"/>
    <w:rsid w:val="5DDF953B"/>
    <w:rsid w:val="5FE73CCA"/>
    <w:rsid w:val="6DDE4FD6"/>
    <w:rsid w:val="6DEE1C09"/>
    <w:rsid w:val="6EF760C9"/>
    <w:rsid w:val="73DF6EA2"/>
    <w:rsid w:val="77B8891E"/>
    <w:rsid w:val="77DBAEED"/>
    <w:rsid w:val="77DF812F"/>
    <w:rsid w:val="793C0991"/>
    <w:rsid w:val="79B7D9A6"/>
    <w:rsid w:val="7EF1B516"/>
    <w:rsid w:val="7FBED5A3"/>
    <w:rsid w:val="7FDF49F3"/>
    <w:rsid w:val="7FE72150"/>
    <w:rsid w:val="7FFE75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A8E9B"/>
  <w15:docId w15:val="{60CB8467-3B5D-48AA-A89B-202B7BBB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link w:val="a5"/>
    <w:uiPriority w:val="99"/>
    <w:semiHidden/>
    <w:unhideWhenUsed/>
    <w:qFormat/>
    <w:pPr>
      <w:jc w:val="left"/>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iPriority w:val="99"/>
    <w:semiHidden/>
    <w:unhideWhenUsed/>
    <w:qFormat/>
    <w:rPr>
      <w:b/>
      <w:bCs/>
    </w:rPr>
  </w:style>
  <w:style w:type="character" w:styleId="ac">
    <w:name w:val="annotation reference"/>
    <w:basedOn w:val="a1"/>
    <w:uiPriority w:val="99"/>
    <w:semiHidden/>
    <w:unhideWhenUsed/>
    <w:qFormat/>
    <w:rPr>
      <w:sz w:val="21"/>
      <w:szCs w:val="21"/>
    </w:rPr>
  </w:style>
  <w:style w:type="character" w:customStyle="1" w:styleId="a9">
    <w:name w:val="页眉 字符"/>
    <w:basedOn w:val="a1"/>
    <w:link w:val="a8"/>
    <w:uiPriority w:val="99"/>
    <w:qFormat/>
    <w:rPr>
      <w:rFonts w:ascii="Calibri" w:eastAsia="宋体" w:hAnsi="Calibri" w:cs="Times New Roman"/>
      <w:kern w:val="2"/>
      <w:sz w:val="18"/>
      <w:szCs w:val="18"/>
    </w:rPr>
  </w:style>
  <w:style w:type="character" w:customStyle="1" w:styleId="a7">
    <w:name w:val="页脚 字符"/>
    <w:basedOn w:val="a1"/>
    <w:link w:val="a6"/>
    <w:uiPriority w:val="99"/>
    <w:qFormat/>
    <w:rPr>
      <w:rFonts w:ascii="Calibri" w:eastAsia="宋体" w:hAnsi="Calibri" w:cs="Times New Roman"/>
      <w:kern w:val="2"/>
      <w:sz w:val="18"/>
      <w:szCs w:val="18"/>
    </w:rPr>
  </w:style>
  <w:style w:type="character" w:customStyle="1" w:styleId="a5">
    <w:name w:val="批注文字 字符"/>
    <w:basedOn w:val="a1"/>
    <w:link w:val="a4"/>
    <w:uiPriority w:val="99"/>
    <w:semiHidden/>
    <w:qFormat/>
    <w:rPr>
      <w:rFonts w:ascii="Calibri" w:eastAsia="宋体" w:hAnsi="Calibri" w:cs="Times New Roman"/>
      <w:kern w:val="2"/>
      <w:sz w:val="21"/>
      <w:szCs w:val="22"/>
    </w:rPr>
  </w:style>
  <w:style w:type="character" w:customStyle="1" w:styleId="ab">
    <w:name w:val="批注主题 字符"/>
    <w:basedOn w:val="a5"/>
    <w:link w:val="aa"/>
    <w:uiPriority w:val="99"/>
    <w:semiHidden/>
    <w:qFormat/>
    <w:rPr>
      <w:rFonts w:ascii="Calibri" w:eastAsia="宋体" w:hAnsi="Calibri" w:cs="Times New Roman"/>
      <w:b/>
      <w:bCs/>
      <w:kern w:val="2"/>
      <w:sz w:val="21"/>
      <w:szCs w:val="22"/>
    </w:rPr>
  </w:style>
  <w:style w:type="paragraph" w:styleId="ad">
    <w:name w:val="Revision"/>
    <w:hidden/>
    <w:uiPriority w:val="99"/>
    <w:semiHidden/>
    <w:rsid w:val="00E25FE0"/>
    <w:rPr>
      <w:rFonts w:ascii="Calibri" w:eastAsia="宋体" w:hAnsi="Calibri" w:cs="Times New Roman"/>
      <w:kern w:val="2"/>
      <w:sz w:val="21"/>
      <w:szCs w:val="22"/>
    </w:rPr>
  </w:style>
  <w:style w:type="paragraph" w:styleId="ae">
    <w:name w:val="macro"/>
    <w:link w:val="af"/>
    <w:rsid w:val="0059541B"/>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eastAsia="宋体" w:hAnsi="Courier New" w:cs="Courier New"/>
      <w:lang w:val="en-GB" w:bidi="ar-AE"/>
    </w:rPr>
  </w:style>
  <w:style w:type="character" w:customStyle="1" w:styleId="af">
    <w:name w:val="宏文本 字符"/>
    <w:basedOn w:val="a1"/>
    <w:link w:val="ae"/>
    <w:rsid w:val="0059541B"/>
    <w:rPr>
      <w:rFonts w:ascii="Courier New" w:eastAsia="宋体" w:hAnsi="Courier New" w:cs="Courier New"/>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陈媚</dc:creator>
  <cp:lastModifiedBy>宋 雪玲 中银律师事务所</cp:lastModifiedBy>
  <cp:revision>26</cp:revision>
  <dcterms:created xsi:type="dcterms:W3CDTF">2022-06-10T01:52:00Z</dcterms:created>
  <dcterms:modified xsi:type="dcterms:W3CDTF">2022-09-14T05:18:00Z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