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sz w:val="30"/>
          <w:szCs w:val="30"/>
        </w:rPr>
      </w:pPr>
      <w:r>
        <w:rPr>
          <w:rFonts w:hint="eastAsia" w:ascii="黑体" w:hAnsi="Times New Roman"/>
          <w:sz w:val="30"/>
          <w:szCs w:val="30"/>
        </w:rPr>
        <w:t>经营者集中简易案件公示表</w:t>
      </w:r>
    </w:p>
    <w:p>
      <w:pPr>
        <w:spacing w:line="440" w:lineRule="exact"/>
        <w:rPr>
          <w:rFonts w:ascii="黑体" w:hAnsi="Times New Roman"/>
          <w:sz w:val="28"/>
          <w:szCs w:val="28"/>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2008"/>
        <w:gridCol w:w="5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sz w:val="28"/>
                <w:szCs w:val="28"/>
              </w:rPr>
            </w:pPr>
            <w:r>
              <w:rPr>
                <w:rFonts w:hint="eastAsia" w:ascii="仿宋_GB2312" w:hAnsi="Times New Roman"/>
                <w:sz w:val="28"/>
                <w:szCs w:val="28"/>
              </w:rPr>
              <w:t>案件名称</w:t>
            </w:r>
          </w:p>
        </w:tc>
        <w:tc>
          <w:tcPr>
            <w:tcW w:w="6949" w:type="dxa"/>
            <w:gridSpan w:val="2"/>
            <w:vAlign w:val="center"/>
          </w:tcPr>
          <w:p>
            <w:pPr>
              <w:spacing w:line="500" w:lineRule="exact"/>
              <w:rPr>
                <w:rFonts w:ascii="仿宋_GB2312" w:hAnsi="Times New Roman"/>
                <w:sz w:val="28"/>
                <w:szCs w:val="28"/>
              </w:rPr>
            </w:pPr>
            <w:r>
              <w:rPr>
                <w:rFonts w:hint="eastAsia" w:ascii="仿宋_GB2312" w:hAnsi="Times New Roman"/>
                <w:sz w:val="28"/>
                <w:szCs w:val="28"/>
                <w:lang w:val="en-GB"/>
              </w:rPr>
              <w:t>上海同盛物流园区投资开发</w:t>
            </w:r>
            <w:r>
              <w:rPr>
                <w:rFonts w:ascii="仿宋_GB2312" w:hAnsi="Times New Roman"/>
                <w:sz w:val="28"/>
                <w:szCs w:val="28"/>
                <w:lang w:val="en-GB"/>
              </w:rPr>
              <w:t>有限公司</w:t>
            </w:r>
            <w:r>
              <w:rPr>
                <w:rFonts w:hint="eastAsia" w:ascii="仿宋_GB2312" w:hAnsi="Times New Roman"/>
                <w:sz w:val="28"/>
                <w:szCs w:val="28"/>
                <w:lang w:val="en-GB"/>
              </w:rPr>
              <w:t>与长荣海运（亚洲）有限公司新设合营企业</w:t>
            </w:r>
            <w:r>
              <w:rPr>
                <w:rFonts w:ascii="仿宋_GB2312" w:hAnsi="Times New Roman"/>
                <w:sz w:val="28"/>
                <w:szCs w:val="28"/>
                <w:lang w:val="en-GB"/>
              </w:rPr>
              <w:t>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仿宋_GB2312" w:hAnsi="Times New Roman"/>
                <w:sz w:val="28"/>
                <w:szCs w:val="28"/>
              </w:rPr>
            </w:pPr>
            <w:r>
              <w:rPr>
                <w:rFonts w:hint="eastAsia" w:ascii="仿宋_GB2312" w:hAnsi="Times New Roman"/>
                <w:sz w:val="28"/>
                <w:szCs w:val="28"/>
              </w:rPr>
              <w:t>交易概况（限</w:t>
            </w:r>
            <w:r>
              <w:rPr>
                <w:rFonts w:ascii="仿宋_GB2312" w:hAnsi="Times New Roman"/>
                <w:sz w:val="28"/>
                <w:szCs w:val="28"/>
              </w:rPr>
              <w:t>200</w:t>
            </w:r>
            <w:r>
              <w:rPr>
                <w:rFonts w:hint="eastAsia" w:ascii="仿宋_GB2312" w:hAnsi="Times New Roman"/>
                <w:sz w:val="28"/>
                <w:szCs w:val="28"/>
              </w:rPr>
              <w:t>字内）</w:t>
            </w:r>
          </w:p>
        </w:tc>
        <w:tc>
          <w:tcPr>
            <w:tcW w:w="6949" w:type="dxa"/>
            <w:gridSpan w:val="2"/>
          </w:tcPr>
          <w:p>
            <w:pPr>
              <w:widowControl/>
              <w:snapToGrid w:val="0"/>
              <w:jc w:val="left"/>
              <w:rPr>
                <w:rFonts w:ascii="仿宋_GB2312" w:hAnsi="Times New Roman"/>
                <w:sz w:val="28"/>
                <w:szCs w:val="28"/>
              </w:rPr>
            </w:pPr>
            <w:r>
              <w:rPr>
                <w:rFonts w:hint="eastAsia" w:ascii="仿宋_GB2312" w:hAnsi="Times New Roman"/>
                <w:sz w:val="28"/>
                <w:szCs w:val="28"/>
                <w:lang w:val="en-GB"/>
              </w:rPr>
              <w:t>本次交易涉及上海同盛物流园区投资开发有限公司（“</w:t>
            </w:r>
            <w:r>
              <w:rPr>
                <w:rFonts w:hint="eastAsia" w:ascii="仿宋_GB2312" w:hAnsi="Times New Roman"/>
                <w:b/>
                <w:bCs/>
                <w:sz w:val="28"/>
                <w:szCs w:val="28"/>
                <w:lang w:val="en-GB"/>
              </w:rPr>
              <w:t>同盛物流</w:t>
            </w:r>
            <w:r>
              <w:rPr>
                <w:rFonts w:hint="eastAsia" w:ascii="仿宋_GB2312" w:hAnsi="Times New Roman"/>
                <w:sz w:val="28"/>
                <w:szCs w:val="28"/>
                <w:lang w:val="en-GB"/>
              </w:rPr>
              <w:t>”）与长荣海运（亚洲）有限公司（“</w:t>
            </w:r>
            <w:r>
              <w:rPr>
                <w:rFonts w:hint="eastAsia" w:ascii="仿宋_GB2312" w:hAnsi="Times New Roman"/>
                <w:b/>
                <w:bCs/>
                <w:sz w:val="28"/>
                <w:szCs w:val="28"/>
                <w:lang w:val="en-GB"/>
              </w:rPr>
              <w:t>长荣亚洲</w:t>
            </w:r>
            <w:r>
              <w:rPr>
                <w:rFonts w:hint="eastAsia" w:ascii="仿宋_GB2312" w:hAnsi="Times New Roman"/>
                <w:sz w:val="28"/>
                <w:szCs w:val="28"/>
                <w:lang w:val="en-GB"/>
              </w:rPr>
              <w:t>”）于上海新设合营企业，从事集装箱堆场服务。合营公司由同盛物流和长荣亚洲共同出资成立。交易完成后，同盛物流持股51%，长荣亚洲持股49%，共同控制合营企业。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仿宋_GB2312" w:hAnsi="Times New Roman"/>
                <w:sz w:val="28"/>
                <w:szCs w:val="28"/>
              </w:rPr>
            </w:pPr>
            <w:r>
              <w:rPr>
                <w:rFonts w:hint="eastAsia" w:ascii="仿宋_GB2312" w:hAnsi="Times New Roman"/>
                <w:sz w:val="28"/>
                <w:szCs w:val="28"/>
              </w:rPr>
              <w:t>参与集中的经营者简介</w:t>
            </w:r>
          </w:p>
        </w:tc>
        <w:tc>
          <w:tcPr>
            <w:tcW w:w="1796" w:type="dxa"/>
          </w:tcPr>
          <w:p>
            <w:pPr>
              <w:spacing w:line="500" w:lineRule="exact"/>
              <w:rPr>
                <w:rFonts w:ascii="仿宋_GB2312" w:hAnsi="Times New Roman"/>
                <w:sz w:val="28"/>
                <w:szCs w:val="28"/>
                <w:lang w:val="en-GB"/>
              </w:rPr>
            </w:pPr>
            <w:r>
              <w:rPr>
                <w:rFonts w:ascii="仿宋_GB2312" w:hAnsi="Times New Roman"/>
                <w:sz w:val="28"/>
                <w:szCs w:val="28"/>
                <w:lang w:val="en-GB"/>
              </w:rPr>
              <w:t>1</w:t>
            </w:r>
            <w:r>
              <w:rPr>
                <w:rFonts w:hint="eastAsia" w:ascii="仿宋_GB2312" w:hAnsi="Times New Roman"/>
                <w:sz w:val="28"/>
                <w:szCs w:val="28"/>
                <w:lang w:val="en-GB"/>
              </w:rPr>
              <w:t>、同盛物流</w:t>
            </w:r>
          </w:p>
        </w:tc>
        <w:tc>
          <w:tcPr>
            <w:tcW w:w="5153" w:type="dxa"/>
          </w:tcPr>
          <w:p>
            <w:pPr>
              <w:widowControl/>
              <w:snapToGrid w:val="0"/>
              <w:jc w:val="left"/>
              <w:rPr>
                <w:rFonts w:ascii="仿宋_GB2312" w:hAnsi="Times New Roman"/>
                <w:sz w:val="28"/>
                <w:szCs w:val="28"/>
                <w:lang w:val="en-GB"/>
              </w:rPr>
            </w:pPr>
            <w:r>
              <w:rPr>
                <w:rFonts w:hint="eastAsia" w:ascii="仿宋_GB2312" w:hAnsi="Times New Roman"/>
                <w:sz w:val="28"/>
                <w:szCs w:val="28"/>
                <w:lang w:val="en-GB"/>
              </w:rPr>
              <w:t>同盛物流于2</w:t>
            </w:r>
            <w:r>
              <w:rPr>
                <w:rFonts w:ascii="仿宋_GB2312" w:hAnsi="Times New Roman"/>
                <w:sz w:val="28"/>
                <w:szCs w:val="28"/>
                <w:lang w:val="en-GB"/>
              </w:rPr>
              <w:t>002</w:t>
            </w:r>
            <w:r>
              <w:rPr>
                <w:rFonts w:hint="eastAsia" w:ascii="仿宋_GB2312" w:hAnsi="Times New Roman"/>
                <w:sz w:val="28"/>
                <w:szCs w:val="28"/>
                <w:lang w:val="en-GB"/>
              </w:rPr>
              <w:t>年1</w:t>
            </w:r>
            <w:r>
              <w:rPr>
                <w:rFonts w:ascii="仿宋_GB2312" w:hAnsi="Times New Roman"/>
                <w:sz w:val="28"/>
                <w:szCs w:val="28"/>
                <w:lang w:val="en-GB"/>
              </w:rPr>
              <w:t>0</w:t>
            </w:r>
            <w:r>
              <w:rPr>
                <w:rFonts w:hint="eastAsia" w:ascii="仿宋_GB2312" w:hAnsi="Times New Roman"/>
                <w:sz w:val="28"/>
                <w:szCs w:val="28"/>
                <w:lang w:val="en-GB"/>
              </w:rPr>
              <w:t>月1</w:t>
            </w:r>
            <w:r>
              <w:rPr>
                <w:rFonts w:ascii="仿宋_GB2312" w:hAnsi="Times New Roman"/>
                <w:sz w:val="28"/>
                <w:szCs w:val="28"/>
                <w:lang w:val="en-GB"/>
              </w:rPr>
              <w:t>5</w:t>
            </w:r>
            <w:r>
              <w:rPr>
                <w:rFonts w:hint="eastAsia" w:ascii="仿宋_GB2312" w:hAnsi="Times New Roman"/>
                <w:sz w:val="28"/>
                <w:szCs w:val="28"/>
                <w:lang w:val="en-GB"/>
              </w:rPr>
              <w:t>日成立于中国上海市，主要业务为港口物流业务，开展口岸配套服务、资产设施运营和第三方物流运作等服务。</w:t>
            </w:r>
          </w:p>
          <w:p>
            <w:pPr>
              <w:widowControl/>
              <w:snapToGrid w:val="0"/>
              <w:spacing w:line="500" w:lineRule="exact"/>
              <w:jc w:val="left"/>
              <w:rPr>
                <w:rFonts w:ascii="仿宋_GB2312" w:hAnsi="Times New Roman"/>
                <w:sz w:val="28"/>
                <w:szCs w:val="28"/>
                <w:lang w:val="en-GB"/>
              </w:rPr>
            </w:pPr>
            <w:r>
              <w:rPr>
                <w:rFonts w:hint="eastAsia" w:ascii="仿宋_GB2312" w:hAnsi="Times New Roman"/>
                <w:sz w:val="28"/>
                <w:szCs w:val="28"/>
                <w:lang w:val="en-GB"/>
              </w:rPr>
              <w:t>同盛物流是上海国际港务（集团）股份有限公司（“</w:t>
            </w:r>
            <w:r>
              <w:rPr>
                <w:rFonts w:hint="eastAsia" w:ascii="仿宋_GB2312" w:hAnsi="Times New Roman"/>
                <w:b/>
                <w:bCs/>
                <w:sz w:val="28"/>
                <w:szCs w:val="28"/>
                <w:lang w:val="en-GB"/>
              </w:rPr>
              <w:t>上港集团</w:t>
            </w:r>
            <w:r>
              <w:rPr>
                <w:rFonts w:hint="eastAsia" w:ascii="仿宋_GB2312" w:hAnsi="Times New Roman"/>
                <w:sz w:val="28"/>
                <w:szCs w:val="28"/>
                <w:lang w:val="en-GB"/>
              </w:rPr>
              <w:t>”）的全资子公司。上港集团的主要业务包括：集装箱码头、散杂货码头、港口物流、港口服务。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仿宋_GB2312" w:hAnsi="Times New Roman"/>
                <w:sz w:val="28"/>
                <w:szCs w:val="28"/>
              </w:rPr>
            </w:pPr>
          </w:p>
        </w:tc>
        <w:tc>
          <w:tcPr>
            <w:tcW w:w="1796" w:type="dxa"/>
          </w:tcPr>
          <w:p>
            <w:pPr>
              <w:spacing w:line="500" w:lineRule="exact"/>
              <w:rPr>
                <w:rFonts w:ascii="仿宋_GB2312" w:hAnsi="Times New Roman"/>
                <w:sz w:val="28"/>
                <w:szCs w:val="28"/>
                <w:lang w:val="en-GB"/>
              </w:rPr>
            </w:pPr>
            <w:r>
              <w:rPr>
                <w:rFonts w:ascii="仿宋_GB2312" w:hAnsi="Times New Roman"/>
                <w:sz w:val="28"/>
                <w:szCs w:val="28"/>
                <w:lang w:val="en-GB"/>
              </w:rPr>
              <w:t>2</w:t>
            </w:r>
            <w:r>
              <w:rPr>
                <w:rFonts w:hint="eastAsia" w:ascii="仿宋_GB2312" w:hAnsi="Times New Roman"/>
                <w:sz w:val="28"/>
                <w:szCs w:val="28"/>
                <w:lang w:val="en-GB"/>
              </w:rPr>
              <w:t>、长荣亚洲</w:t>
            </w:r>
          </w:p>
        </w:tc>
        <w:tc>
          <w:tcPr>
            <w:tcW w:w="5153" w:type="dxa"/>
          </w:tcPr>
          <w:p>
            <w:pPr>
              <w:spacing w:line="500" w:lineRule="exact"/>
              <w:rPr>
                <w:rFonts w:ascii="仿宋_GB2312" w:hAnsi="Times New Roman"/>
                <w:sz w:val="28"/>
                <w:szCs w:val="28"/>
              </w:rPr>
            </w:pPr>
            <w:r>
              <w:rPr>
                <w:rFonts w:hint="eastAsia" w:ascii="仿宋_GB2312" w:hAnsi="Times New Roman"/>
                <w:sz w:val="28"/>
                <w:szCs w:val="28"/>
              </w:rPr>
              <w:t>长荣亚洲2021年3月22日成立于新加坡，主要从事国际集装箱班轮运输、集装箱堆场服务。</w:t>
            </w:r>
          </w:p>
          <w:p>
            <w:pPr>
              <w:pStyle w:val="2"/>
            </w:pPr>
            <w:r>
              <w:rPr>
                <w:rFonts w:hint="eastAsia" w:ascii="仿宋_GB2312" w:hAnsi="Times New Roman"/>
                <w:sz w:val="28"/>
                <w:szCs w:val="28"/>
              </w:rPr>
              <w:t>长荣亚洲是长荣海运股份有限公司</w:t>
            </w:r>
            <w:r>
              <w:rPr>
                <w:rFonts w:hint="eastAsia" w:ascii="仿宋_GB2312" w:hAnsi="Times New Roman"/>
                <w:sz w:val="28"/>
                <w:szCs w:val="28"/>
                <w:lang w:val="en-GB"/>
              </w:rPr>
              <w:t>（“</w:t>
            </w:r>
            <w:r>
              <w:rPr>
                <w:rFonts w:hint="eastAsia" w:ascii="仿宋_GB2312" w:hAnsi="Times New Roman"/>
                <w:b/>
                <w:bCs/>
                <w:sz w:val="28"/>
                <w:szCs w:val="28"/>
              </w:rPr>
              <w:t>长荣海运</w:t>
            </w:r>
            <w:r>
              <w:rPr>
                <w:rFonts w:hint="eastAsia" w:ascii="仿宋_GB2312" w:hAnsi="Times New Roman"/>
                <w:sz w:val="28"/>
                <w:szCs w:val="28"/>
                <w:lang w:val="en-GB"/>
              </w:rPr>
              <w:t>”）</w:t>
            </w:r>
            <w:r>
              <w:rPr>
                <w:rFonts w:hint="eastAsia" w:ascii="仿宋_GB2312" w:hAnsi="Times New Roman"/>
                <w:sz w:val="28"/>
                <w:szCs w:val="28"/>
              </w:rPr>
              <w:t>的全资子公司。长荣海运的主要业务包括：国际集装箱班轮运输、集装箱堆场服务。</w:t>
            </w:r>
          </w:p>
          <w:p>
            <w:pPr>
              <w:spacing w:line="500" w:lineRule="exact"/>
              <w:rPr>
                <w:rFonts w:ascii="仿宋_GB2312" w:hAnsi="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仿宋_GB2312" w:hAnsi="Times New Roman"/>
                <w:sz w:val="28"/>
                <w:szCs w:val="28"/>
              </w:rPr>
            </w:pPr>
            <w:r>
              <w:rPr>
                <w:rFonts w:hint="eastAsia" w:ascii="仿宋_GB2312" w:hAnsi="Times New Roman"/>
                <w:sz w:val="28"/>
                <w:szCs w:val="28"/>
              </w:rPr>
              <w:t>简易案件理由（可以单选，也可以多选）</w:t>
            </w:r>
          </w:p>
        </w:tc>
        <w:tc>
          <w:tcPr>
            <w:tcW w:w="6949" w:type="dxa"/>
            <w:gridSpan w:val="2"/>
          </w:tcPr>
          <w:p>
            <w:pPr>
              <w:spacing w:line="500" w:lineRule="exact"/>
              <w:rPr>
                <w:rFonts w:ascii="仿宋_GB2312" w:hAnsi="Times New Roman"/>
                <w:sz w:val="28"/>
                <w:szCs w:val="28"/>
              </w:rPr>
            </w:pPr>
            <w:r>
              <w:rPr>
                <w:rFonts w:ascii="仿宋_GB2312" w:hAnsi="Times New Roman"/>
                <w:sz w:val="28"/>
                <w:szCs w:val="28"/>
              </w:rPr>
              <w:sym w:font="Wingdings" w:char="F0FE"/>
            </w:r>
            <w:r>
              <w:rPr>
                <w:rFonts w:hint="eastAsia" w:ascii="仿宋_GB2312" w:hAnsi="Times New Roman"/>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ascii="仿宋_GB2312" w:hAnsi="Times New Roman"/>
                <w:sz w:val="28"/>
                <w:szCs w:val="28"/>
              </w:rPr>
              <w:sym w:font="Wingdings" w:char="F0FE"/>
            </w:r>
            <w:r>
              <w:rPr>
                <w:rFonts w:hint="eastAsia" w:ascii="仿宋_GB2312" w:hAnsi="Times New Roman"/>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3</w:t>
            </w:r>
            <w:r>
              <w:rPr>
                <w:rFonts w:hint="eastAsia" w:ascii="仿宋_GB2312" w:hAnsi="Times New Roman"/>
                <w:sz w:val="28"/>
                <w:szCs w:val="28"/>
              </w:rPr>
              <w:t>、不在同一相关市场、也不存在上下游关系的参与集中的经营者，在与交易有关的每个市场所占的份额均小于</w:t>
            </w:r>
            <w:r>
              <w:rPr>
                <w:rFonts w:ascii="仿宋_GB2312" w:hAnsi="Times New Roman"/>
                <w:sz w:val="28"/>
                <w:szCs w:val="28"/>
              </w:rPr>
              <w:t>25%</w:t>
            </w:r>
            <w:r>
              <w:rPr>
                <w:rFonts w:hint="eastAsia" w:ascii="仿宋_GB2312" w:hAnsi="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4</w:t>
            </w:r>
            <w:r>
              <w:rPr>
                <w:rFonts w:hint="eastAsia" w:ascii="仿宋_GB2312" w:hAnsi="Times New Roman"/>
                <w:sz w:val="28"/>
                <w:szCs w:val="28"/>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5</w:t>
            </w:r>
            <w:r>
              <w:rPr>
                <w:rFonts w:hint="eastAsia" w:ascii="仿宋_GB2312" w:hAnsi="Times New Roman"/>
                <w:sz w:val="28"/>
                <w:szCs w:val="28"/>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仿宋_GB2312" w:hAnsi="Times New Roman"/>
                <w:sz w:val="28"/>
                <w:szCs w:val="28"/>
              </w:rPr>
            </w:pPr>
          </w:p>
        </w:tc>
        <w:tc>
          <w:tcPr>
            <w:tcW w:w="6949" w:type="dxa"/>
            <w:gridSpan w:val="2"/>
          </w:tcPr>
          <w:p>
            <w:pPr>
              <w:spacing w:line="500" w:lineRule="exact"/>
              <w:rPr>
                <w:rFonts w:ascii="仿宋_GB2312" w:hAnsi="Times New Roman"/>
                <w:sz w:val="28"/>
                <w:szCs w:val="28"/>
              </w:rPr>
            </w:pPr>
            <w:r>
              <w:rPr>
                <w:rFonts w:hint="eastAsia" w:ascii="仿宋_GB2312" w:hAnsi="Times New Roman"/>
                <w:sz w:val="28"/>
                <w:szCs w:val="28"/>
              </w:rPr>
              <w:t>□</w:t>
            </w:r>
            <w:r>
              <w:rPr>
                <w:rFonts w:ascii="仿宋_GB2312" w:hAnsi="Times New Roman"/>
                <w:sz w:val="28"/>
                <w:szCs w:val="28"/>
              </w:rPr>
              <w:t>6</w:t>
            </w:r>
            <w:r>
              <w:rPr>
                <w:rFonts w:hint="eastAsia" w:ascii="仿宋_GB2312" w:hAnsi="Times New Roman"/>
                <w:sz w:val="28"/>
                <w:szCs w:val="28"/>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sz w:val="28"/>
                <w:szCs w:val="28"/>
              </w:rPr>
            </w:pPr>
            <w:r>
              <w:rPr>
                <w:rFonts w:hint="eastAsia" w:ascii="仿宋_GB2312" w:hAnsi="Times New Roman"/>
                <w:sz w:val="28"/>
                <w:szCs w:val="28"/>
              </w:rPr>
              <w:t>备注</w:t>
            </w:r>
          </w:p>
        </w:tc>
        <w:tc>
          <w:tcPr>
            <w:tcW w:w="6949" w:type="dxa"/>
            <w:gridSpan w:val="2"/>
          </w:tcPr>
          <w:p>
            <w:pPr>
              <w:widowControl/>
              <w:snapToGrid w:val="0"/>
              <w:jc w:val="left"/>
              <w:rPr>
                <w:rFonts w:ascii="仿宋" w:hAnsi="仿宋" w:cs="Arial"/>
                <w:b/>
                <w:bCs/>
                <w:sz w:val="28"/>
                <w:szCs w:val="28"/>
                <w:u w:val="single"/>
              </w:rPr>
            </w:pPr>
            <w:r>
              <w:rPr>
                <w:rFonts w:hint="eastAsia" w:ascii="仿宋" w:hAnsi="仿宋" w:cs="Arial"/>
                <w:b/>
                <w:bCs/>
                <w:sz w:val="28"/>
                <w:szCs w:val="28"/>
                <w:u w:val="single"/>
              </w:rPr>
              <w:t>本项交易涉及以下相关市场：</w:t>
            </w:r>
          </w:p>
          <w:p>
            <w:pPr>
              <w:widowControl/>
              <w:snapToGrid w:val="0"/>
              <w:jc w:val="left"/>
              <w:rPr>
                <w:rFonts w:ascii="仿宋" w:hAnsi="仿宋" w:cs="Arial"/>
                <w:b/>
                <w:bCs/>
                <w:sz w:val="28"/>
                <w:szCs w:val="28"/>
                <w:u w:val="single"/>
              </w:rPr>
            </w:pPr>
            <w:r>
              <w:rPr>
                <w:rFonts w:hint="eastAsia" w:ascii="仿宋" w:hAnsi="仿宋" w:cs="Arial"/>
                <w:b/>
                <w:bCs/>
                <w:sz w:val="28"/>
                <w:szCs w:val="28"/>
                <w:u w:val="single"/>
              </w:rPr>
              <w:t>横向重叠：</w:t>
            </w:r>
          </w:p>
          <w:tbl>
            <w:tblPr>
              <w:tblStyle w:val="8"/>
              <w:tblW w:w="67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2455"/>
              <w:gridCol w:w="2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shd w:val="clear" w:color="auto" w:fill="BEBEBE" w:themeFill="background1" w:themeFillShade="BF"/>
                  <w:vAlign w:val="center"/>
                </w:tcPr>
                <w:p>
                  <w:pPr>
                    <w:widowControl/>
                    <w:snapToGrid w:val="0"/>
                    <w:jc w:val="left"/>
                    <w:rPr>
                      <w:rFonts w:ascii="仿宋" w:hAnsi="仿宋" w:cs="Arial"/>
                      <w:b/>
                      <w:bCs/>
                      <w:sz w:val="28"/>
                      <w:szCs w:val="28"/>
                    </w:rPr>
                  </w:pPr>
                  <w:r>
                    <w:rPr>
                      <w:rFonts w:hint="eastAsia" w:ascii="仿宋" w:hAnsi="仿宋" w:cs="Arial"/>
                      <w:b/>
                      <w:bCs/>
                      <w:sz w:val="28"/>
                      <w:szCs w:val="28"/>
                    </w:rPr>
                    <w:t>相关商品市场</w:t>
                  </w:r>
                </w:p>
              </w:tc>
              <w:tc>
                <w:tcPr>
                  <w:tcW w:w="2455" w:type="dxa"/>
                  <w:shd w:val="clear" w:color="auto" w:fill="BEBEBE" w:themeFill="background1" w:themeFillShade="BF"/>
                  <w:vAlign w:val="center"/>
                </w:tcPr>
                <w:p>
                  <w:pPr>
                    <w:widowControl/>
                    <w:snapToGrid w:val="0"/>
                    <w:jc w:val="left"/>
                    <w:rPr>
                      <w:rFonts w:ascii="仿宋" w:hAnsi="仿宋" w:cs="Arial"/>
                      <w:b/>
                      <w:bCs/>
                      <w:sz w:val="28"/>
                      <w:szCs w:val="28"/>
                    </w:rPr>
                  </w:pPr>
                  <w:r>
                    <w:rPr>
                      <w:rFonts w:hint="eastAsia" w:ascii="仿宋" w:hAnsi="仿宋" w:cs="Arial"/>
                      <w:b/>
                      <w:bCs/>
                      <w:sz w:val="28"/>
                      <w:szCs w:val="28"/>
                    </w:rPr>
                    <w:t>相关地域市场</w:t>
                  </w:r>
                </w:p>
              </w:tc>
              <w:tc>
                <w:tcPr>
                  <w:tcW w:w="2343" w:type="dxa"/>
                  <w:shd w:val="clear" w:color="auto" w:fill="BEBEBE" w:themeFill="background1" w:themeFillShade="BF"/>
                </w:tcPr>
                <w:p>
                  <w:pPr>
                    <w:widowControl/>
                    <w:snapToGrid w:val="0"/>
                    <w:jc w:val="left"/>
                    <w:rPr>
                      <w:rFonts w:ascii="仿宋" w:hAnsi="仿宋" w:cs="Arial"/>
                      <w:b/>
                      <w:bCs/>
                      <w:sz w:val="28"/>
                      <w:szCs w:val="28"/>
                    </w:rPr>
                  </w:pPr>
                  <w:r>
                    <w:rPr>
                      <w:rFonts w:ascii="仿宋" w:hAnsi="仿宋" w:cs="Arial"/>
                      <w:b/>
                      <w:bCs/>
                      <w:sz w:val="28"/>
                      <w:szCs w:val="28"/>
                    </w:rPr>
                    <w:t>2021</w:t>
                  </w:r>
                  <w:r>
                    <w:rPr>
                      <w:rFonts w:hint="eastAsia" w:ascii="仿宋" w:hAnsi="仿宋" w:cs="Arial"/>
                      <w:b/>
                      <w:bCs/>
                      <w:sz w:val="28"/>
                      <w:szCs w:val="28"/>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shd w:val="clear" w:color="auto" w:fill="auto"/>
                  <w:vAlign w:val="center"/>
                </w:tcPr>
                <w:p>
                  <w:pPr>
                    <w:widowControl/>
                    <w:snapToGrid w:val="0"/>
                    <w:jc w:val="left"/>
                    <w:rPr>
                      <w:rFonts w:ascii="仿宋" w:hAnsi="仿宋" w:cs="Arial"/>
                      <w:i/>
                      <w:iCs/>
                      <w:sz w:val="28"/>
                      <w:szCs w:val="28"/>
                    </w:rPr>
                  </w:pPr>
                  <w:r>
                    <w:rPr>
                      <w:rFonts w:hint="eastAsia" w:ascii="仿宋" w:hAnsi="仿宋" w:cs="Arial"/>
                      <w:i/>
                      <w:iCs/>
                      <w:sz w:val="28"/>
                      <w:szCs w:val="28"/>
                    </w:rPr>
                    <w:t>集装箱堆场服务市场</w:t>
                  </w:r>
                </w:p>
              </w:tc>
              <w:tc>
                <w:tcPr>
                  <w:tcW w:w="2455" w:type="dxa"/>
                  <w:shd w:val="clear" w:color="auto" w:fill="auto"/>
                  <w:vAlign w:val="center"/>
                </w:tcPr>
                <w:p>
                  <w:pPr>
                    <w:widowControl/>
                    <w:snapToGrid w:val="0"/>
                    <w:jc w:val="left"/>
                    <w:rPr>
                      <w:rFonts w:ascii="仿宋" w:hAnsi="仿宋" w:cs="Arial"/>
                      <w:i/>
                      <w:iCs/>
                      <w:sz w:val="28"/>
                      <w:szCs w:val="28"/>
                    </w:rPr>
                  </w:pPr>
                  <w:r>
                    <w:rPr>
                      <w:rFonts w:hint="eastAsia" w:ascii="仿宋" w:hAnsi="仿宋" w:cs="Arial"/>
                      <w:i/>
                      <w:iCs/>
                      <w:sz w:val="28"/>
                      <w:szCs w:val="28"/>
                    </w:rPr>
                    <w:t>上海港</w:t>
                  </w:r>
                </w:p>
              </w:tc>
              <w:tc>
                <w:tcPr>
                  <w:tcW w:w="2343" w:type="dxa"/>
                </w:tcPr>
                <w:p>
                  <w:pPr>
                    <w:widowControl/>
                    <w:snapToGrid w:val="0"/>
                    <w:jc w:val="left"/>
                    <w:rPr>
                      <w:rFonts w:ascii="仿宋" w:hAnsi="仿宋" w:cs="Arial"/>
                      <w:i/>
                      <w:iCs/>
                      <w:sz w:val="28"/>
                      <w:szCs w:val="28"/>
                    </w:rPr>
                  </w:pPr>
                  <w:r>
                    <w:rPr>
                      <w:rFonts w:hint="eastAsia" w:ascii="仿宋" w:hAnsi="仿宋" w:cs="Arial"/>
                      <w:i/>
                      <w:iCs/>
                      <w:sz w:val="28"/>
                      <w:szCs w:val="28"/>
                    </w:rPr>
                    <w:t>同盛物流：5</w:t>
                  </w:r>
                  <w:r>
                    <w:rPr>
                      <w:rFonts w:ascii="仿宋" w:hAnsi="仿宋" w:cs="Arial"/>
                      <w:i/>
                      <w:iCs/>
                      <w:sz w:val="28"/>
                      <w:szCs w:val="28"/>
                    </w:rPr>
                    <w:t>-10%</w:t>
                  </w:r>
                </w:p>
                <w:p>
                  <w:pPr>
                    <w:widowControl/>
                    <w:snapToGrid w:val="0"/>
                    <w:jc w:val="left"/>
                    <w:rPr>
                      <w:rFonts w:ascii="仿宋" w:hAnsi="仿宋" w:cs="Arial"/>
                      <w:i/>
                      <w:iCs/>
                      <w:sz w:val="28"/>
                      <w:szCs w:val="28"/>
                    </w:rPr>
                  </w:pPr>
                  <w:r>
                    <w:rPr>
                      <w:rFonts w:hint="eastAsia" w:ascii="仿宋" w:hAnsi="仿宋" w:cs="Arial"/>
                      <w:i/>
                      <w:iCs/>
                      <w:sz w:val="28"/>
                      <w:szCs w:val="28"/>
                    </w:rPr>
                    <w:t>合资公司：0</w:t>
                  </w:r>
                  <w:r>
                    <w:rPr>
                      <w:rFonts w:ascii="仿宋" w:hAnsi="仿宋" w:cs="Arial"/>
                      <w:i/>
                      <w:iCs/>
                      <w:sz w:val="28"/>
                      <w:szCs w:val="28"/>
                    </w:rPr>
                    <w:t>-2%</w:t>
                  </w:r>
                </w:p>
                <w:p>
                  <w:pPr>
                    <w:widowControl/>
                    <w:snapToGrid w:val="0"/>
                    <w:jc w:val="left"/>
                    <w:rPr>
                      <w:rFonts w:ascii="仿宋" w:hAnsi="仿宋" w:cs="Arial"/>
                      <w:i/>
                      <w:iCs/>
                      <w:sz w:val="28"/>
                      <w:szCs w:val="28"/>
                    </w:rPr>
                  </w:pPr>
                  <w:r>
                    <w:rPr>
                      <w:rFonts w:hint="eastAsia" w:ascii="仿宋" w:hAnsi="仿宋" w:cs="Arial"/>
                      <w:i/>
                      <w:iCs/>
                      <w:sz w:val="28"/>
                      <w:szCs w:val="28"/>
                    </w:rPr>
                    <w:t>双方合计：5-</w:t>
                  </w:r>
                  <w:r>
                    <w:rPr>
                      <w:rFonts w:ascii="仿宋" w:hAnsi="仿宋" w:cs="Arial"/>
                      <w:i/>
                      <w:iCs/>
                      <w:sz w:val="28"/>
                      <w:szCs w:val="28"/>
                    </w:rPr>
                    <w:t>12%</w:t>
                  </w:r>
                </w:p>
              </w:tc>
            </w:tr>
          </w:tbl>
          <w:p>
            <w:pPr>
              <w:widowControl/>
              <w:adjustRightInd w:val="0"/>
              <w:snapToGrid w:val="0"/>
              <w:rPr>
                <w:rFonts w:ascii="宋体" w:hAnsi="宋体" w:cs="宋体"/>
                <w:b/>
                <w:color w:val="000000"/>
                <w:kern w:val="0"/>
                <w:sz w:val="24"/>
                <w:szCs w:val="24"/>
                <w:lang w:val="en-GB" w:bidi="ar-AE"/>
              </w:rPr>
            </w:pPr>
            <w:r>
              <w:rPr>
                <w:rFonts w:hint="eastAsia" w:ascii="宋体" w:hAnsi="宋体" w:cs="宋体"/>
                <w:b/>
                <w:color w:val="000000"/>
                <w:kern w:val="0"/>
                <w:sz w:val="24"/>
                <w:szCs w:val="24"/>
                <w:lang w:val="en-GB" w:bidi="ar-AE"/>
              </w:rPr>
              <w:t>纵向关联：</w:t>
            </w:r>
          </w:p>
          <w:tbl>
            <w:tblPr>
              <w:tblStyle w:val="9"/>
              <w:tblW w:w="6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2414"/>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pPr>
                    <w:widowControl/>
                    <w:snapToGrid w:val="0"/>
                    <w:jc w:val="left"/>
                    <w:rPr>
                      <w:rFonts w:ascii="仿宋" w:hAnsi="仿宋" w:cs="Arial"/>
                      <w:b/>
                      <w:bCs/>
                      <w:sz w:val="28"/>
                      <w:szCs w:val="28"/>
                    </w:rPr>
                  </w:pPr>
                  <w:r>
                    <w:rPr>
                      <w:rFonts w:hint="eastAsia" w:ascii="仿宋" w:hAnsi="仿宋" w:cs="Arial"/>
                      <w:b/>
                      <w:bCs/>
                      <w:sz w:val="28"/>
                      <w:szCs w:val="28"/>
                    </w:rPr>
                    <w:t>相关商品市场</w:t>
                  </w:r>
                </w:p>
              </w:tc>
              <w:tc>
                <w:tcPr>
                  <w:tcW w:w="2414" w:type="dxa"/>
                </w:tcPr>
                <w:p>
                  <w:pPr>
                    <w:widowControl/>
                    <w:snapToGrid w:val="0"/>
                    <w:jc w:val="left"/>
                    <w:rPr>
                      <w:rFonts w:ascii="仿宋" w:hAnsi="仿宋" w:cs="Arial"/>
                      <w:b/>
                      <w:bCs/>
                      <w:sz w:val="28"/>
                      <w:szCs w:val="28"/>
                    </w:rPr>
                  </w:pPr>
                  <w:r>
                    <w:rPr>
                      <w:rFonts w:hint="eastAsia" w:ascii="仿宋" w:hAnsi="仿宋" w:cs="Arial"/>
                      <w:b/>
                      <w:bCs/>
                      <w:sz w:val="28"/>
                      <w:szCs w:val="28"/>
                    </w:rPr>
                    <w:t>相关地域市场</w:t>
                  </w:r>
                </w:p>
              </w:tc>
              <w:tc>
                <w:tcPr>
                  <w:tcW w:w="2410" w:type="dxa"/>
                </w:tcPr>
                <w:p>
                  <w:pPr>
                    <w:widowControl/>
                    <w:snapToGrid w:val="0"/>
                    <w:jc w:val="left"/>
                    <w:rPr>
                      <w:rFonts w:ascii="仿宋" w:hAnsi="仿宋" w:cs="Arial"/>
                      <w:b/>
                      <w:bCs/>
                      <w:sz w:val="28"/>
                      <w:szCs w:val="28"/>
                    </w:rPr>
                  </w:pPr>
                  <w:r>
                    <w:rPr>
                      <w:rFonts w:ascii="仿宋" w:hAnsi="仿宋" w:cs="Arial"/>
                      <w:b/>
                      <w:bCs/>
                      <w:sz w:val="28"/>
                      <w:szCs w:val="28"/>
                    </w:rPr>
                    <w:t>2021</w:t>
                  </w:r>
                  <w:r>
                    <w:rPr>
                      <w:rFonts w:hint="eastAsia" w:ascii="仿宋" w:hAnsi="仿宋" w:cs="Arial"/>
                      <w:b/>
                      <w:bCs/>
                      <w:sz w:val="28"/>
                      <w:szCs w:val="28"/>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Borders>
                    <w:top w:val="single" w:color="auto" w:sz="4" w:space="0"/>
                    <w:left w:val="single" w:color="auto" w:sz="4" w:space="0"/>
                    <w:bottom w:val="single" w:color="auto" w:sz="4" w:space="0"/>
                    <w:right w:val="single" w:color="auto" w:sz="4" w:space="0"/>
                  </w:tcBorders>
                </w:tcPr>
                <w:p>
                  <w:pPr>
                    <w:widowControl/>
                    <w:snapToGrid w:val="0"/>
                    <w:rPr>
                      <w:rFonts w:ascii="仿宋" w:hAnsi="仿宋" w:cs="Arial"/>
                      <w:i/>
                      <w:iCs/>
                      <w:sz w:val="28"/>
                      <w:szCs w:val="28"/>
                    </w:rPr>
                  </w:pPr>
                  <w:r>
                    <w:rPr>
                      <w:rFonts w:hint="eastAsia" w:ascii="仿宋" w:hAnsi="仿宋" w:cs="Arial"/>
                      <w:i/>
                      <w:iCs/>
                      <w:sz w:val="28"/>
                      <w:szCs w:val="28"/>
                    </w:rPr>
                    <w:t>上游：国际集装箱班轮运输市场</w:t>
                  </w:r>
                </w:p>
                <w:p>
                  <w:pPr>
                    <w:widowControl/>
                    <w:snapToGrid w:val="0"/>
                    <w:rPr>
                      <w:rFonts w:ascii="仿宋" w:hAnsi="仿宋" w:cs="Arial"/>
                      <w:i/>
                      <w:iCs/>
                      <w:sz w:val="28"/>
                      <w:szCs w:val="28"/>
                    </w:rPr>
                  </w:pPr>
                  <w:r>
                    <w:rPr>
                      <w:rFonts w:hint="eastAsia" w:ascii="仿宋" w:hAnsi="仿宋" w:cs="Arial"/>
                      <w:i/>
                      <w:iCs/>
                      <w:sz w:val="28"/>
                      <w:szCs w:val="28"/>
                    </w:rPr>
                    <w:t>下游：国际海运货物运输代理市场</w:t>
                  </w:r>
                </w:p>
              </w:tc>
              <w:tc>
                <w:tcPr>
                  <w:tcW w:w="2414" w:type="dxa"/>
                  <w:tcBorders>
                    <w:top w:val="single" w:color="auto" w:sz="4" w:space="0"/>
                    <w:left w:val="single" w:color="auto" w:sz="4" w:space="0"/>
                    <w:bottom w:val="single" w:color="auto" w:sz="4" w:space="0"/>
                    <w:right w:val="single" w:color="auto" w:sz="4" w:space="0"/>
                  </w:tcBorders>
                </w:tcPr>
                <w:p>
                  <w:pPr>
                    <w:widowControl/>
                    <w:snapToGrid w:val="0"/>
                    <w:rPr>
                      <w:rFonts w:ascii="仿宋" w:hAnsi="仿宋" w:cs="Arial"/>
                      <w:i/>
                      <w:iCs/>
                      <w:sz w:val="28"/>
                      <w:szCs w:val="28"/>
                    </w:rPr>
                  </w:pPr>
                  <w:r>
                    <w:rPr>
                      <w:rFonts w:hint="eastAsia" w:ascii="仿宋" w:hAnsi="仿宋" w:cs="Arial"/>
                      <w:i/>
                      <w:iCs/>
                      <w:sz w:val="28"/>
                      <w:szCs w:val="28"/>
                    </w:rPr>
                    <w:t>上游：以上海港区为起点或终点的不特定航线集合</w:t>
                  </w:r>
                </w:p>
                <w:p>
                  <w:pPr>
                    <w:widowControl/>
                    <w:snapToGrid w:val="0"/>
                    <w:rPr>
                      <w:rFonts w:ascii="仿宋" w:hAnsi="仿宋" w:cs="Arial"/>
                      <w:i/>
                      <w:iCs/>
                      <w:sz w:val="28"/>
                      <w:szCs w:val="28"/>
                    </w:rPr>
                  </w:pPr>
                  <w:r>
                    <w:rPr>
                      <w:rFonts w:hint="eastAsia" w:ascii="仿宋" w:hAnsi="仿宋" w:cs="Arial"/>
                      <w:i/>
                      <w:iCs/>
                      <w:sz w:val="28"/>
                      <w:szCs w:val="28"/>
                    </w:rPr>
                    <w:t>下游：中国境内</w:t>
                  </w:r>
                </w:p>
              </w:tc>
              <w:tc>
                <w:tcPr>
                  <w:tcW w:w="2410" w:type="dxa"/>
                  <w:tcBorders>
                    <w:top w:val="single" w:color="auto" w:sz="4" w:space="0"/>
                    <w:left w:val="single" w:color="auto" w:sz="4" w:space="0"/>
                    <w:bottom w:val="single" w:color="auto" w:sz="4" w:space="0"/>
                    <w:right w:val="single" w:color="auto" w:sz="4" w:space="0"/>
                  </w:tcBorders>
                </w:tcPr>
                <w:p>
                  <w:pPr>
                    <w:widowControl/>
                    <w:snapToGrid w:val="0"/>
                    <w:rPr>
                      <w:rFonts w:ascii="仿宋" w:hAnsi="仿宋" w:cs="Arial"/>
                      <w:i/>
                      <w:iCs/>
                      <w:sz w:val="28"/>
                      <w:szCs w:val="28"/>
                    </w:rPr>
                  </w:pPr>
                  <w:r>
                    <w:rPr>
                      <w:rFonts w:hint="eastAsia" w:ascii="仿宋" w:hAnsi="仿宋" w:cs="Arial"/>
                      <w:i/>
                      <w:iCs/>
                      <w:sz w:val="28"/>
                      <w:szCs w:val="28"/>
                    </w:rPr>
                    <w:t>上游：以上海港区为起点或终点的不特定航线集合的国际集装箱班轮运输市场</w:t>
                  </w:r>
                </w:p>
                <w:p>
                  <w:pPr>
                    <w:widowControl/>
                    <w:snapToGrid w:val="0"/>
                    <w:rPr>
                      <w:rFonts w:ascii="仿宋" w:hAnsi="仿宋" w:cs="Arial"/>
                      <w:i/>
                      <w:iCs/>
                      <w:sz w:val="28"/>
                      <w:szCs w:val="28"/>
                    </w:rPr>
                  </w:pPr>
                  <w:r>
                    <w:rPr>
                      <w:rFonts w:hint="eastAsia" w:ascii="仿宋" w:hAnsi="仿宋" w:cs="Arial"/>
                      <w:i/>
                      <w:iCs/>
                      <w:sz w:val="28"/>
                      <w:szCs w:val="28"/>
                    </w:rPr>
                    <w:t>长荣集团：0</w:t>
                  </w:r>
                  <w:r>
                    <w:rPr>
                      <w:rFonts w:ascii="仿宋" w:hAnsi="仿宋" w:cs="Arial"/>
                      <w:i/>
                      <w:iCs/>
                      <w:sz w:val="28"/>
                      <w:szCs w:val="28"/>
                    </w:rPr>
                    <w:t>-5%</w:t>
                  </w:r>
                </w:p>
                <w:p>
                  <w:pPr>
                    <w:widowControl/>
                    <w:snapToGrid w:val="0"/>
                    <w:rPr>
                      <w:rFonts w:ascii="仿宋" w:hAnsi="仿宋" w:cs="Arial"/>
                      <w:i/>
                      <w:iCs/>
                      <w:sz w:val="28"/>
                      <w:szCs w:val="28"/>
                    </w:rPr>
                  </w:pPr>
                  <w:r>
                    <w:rPr>
                      <w:rFonts w:hint="eastAsia" w:ascii="仿宋" w:hAnsi="仿宋" w:cs="Arial"/>
                      <w:i/>
                      <w:iCs/>
                      <w:sz w:val="28"/>
                      <w:szCs w:val="28"/>
                    </w:rPr>
                    <w:t>下游：中国境内国际海运货物运输代理市场</w:t>
                  </w:r>
                </w:p>
                <w:p>
                  <w:pPr>
                    <w:widowControl/>
                    <w:snapToGrid w:val="0"/>
                    <w:rPr>
                      <w:rFonts w:ascii="仿宋" w:hAnsi="仿宋" w:cs="Arial"/>
                      <w:i/>
                      <w:iCs/>
                      <w:sz w:val="28"/>
                      <w:szCs w:val="28"/>
                    </w:rPr>
                  </w:pPr>
                  <w:r>
                    <w:rPr>
                      <w:rFonts w:hint="eastAsia" w:ascii="仿宋" w:hAnsi="仿宋" w:cs="Arial"/>
                      <w:i/>
                      <w:iCs/>
                      <w:sz w:val="28"/>
                      <w:szCs w:val="28"/>
                    </w:rPr>
                    <w:t>同盛物流：0-1%</w:t>
                  </w:r>
                </w:p>
                <w:p>
                  <w:pPr>
                    <w:widowControl/>
                    <w:snapToGrid w:val="0"/>
                    <w:rPr>
                      <w:rFonts w:ascii="仿宋" w:hAnsi="仿宋" w:cs="Arial"/>
                      <w:i/>
                      <w:iCs/>
                      <w:sz w:val="28"/>
                      <w:szCs w:val="28"/>
                    </w:rPr>
                  </w:pPr>
                </w:p>
              </w:tc>
            </w:tr>
          </w:tbl>
          <w:p>
            <w:pPr>
              <w:widowControl/>
              <w:adjustRightInd w:val="0"/>
              <w:snapToGrid w:val="0"/>
              <w:rPr>
                <w:rFonts w:ascii="宋体" w:hAnsi="宋体" w:cs="宋体"/>
                <w:b/>
                <w:color w:val="000000"/>
                <w:kern w:val="0"/>
                <w:sz w:val="24"/>
                <w:szCs w:val="24"/>
                <w:lang w:bidi="ar-AE"/>
              </w:rPr>
            </w:pPr>
          </w:p>
          <w:tbl>
            <w:tblPr>
              <w:tblStyle w:val="9"/>
              <w:tblW w:w="67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2414"/>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pPr>
                    <w:widowControl/>
                    <w:snapToGrid w:val="0"/>
                    <w:jc w:val="left"/>
                    <w:rPr>
                      <w:rFonts w:ascii="仿宋" w:hAnsi="仿宋" w:cs="Arial"/>
                      <w:b/>
                      <w:bCs/>
                      <w:sz w:val="28"/>
                      <w:szCs w:val="28"/>
                    </w:rPr>
                  </w:pPr>
                  <w:r>
                    <w:rPr>
                      <w:rFonts w:hint="eastAsia" w:ascii="仿宋" w:hAnsi="仿宋" w:cs="Arial"/>
                      <w:b/>
                      <w:bCs/>
                      <w:sz w:val="28"/>
                      <w:szCs w:val="28"/>
                    </w:rPr>
                    <w:t>相关商品市场</w:t>
                  </w:r>
                </w:p>
              </w:tc>
              <w:tc>
                <w:tcPr>
                  <w:tcW w:w="2414" w:type="dxa"/>
                </w:tcPr>
                <w:p>
                  <w:pPr>
                    <w:widowControl/>
                    <w:snapToGrid w:val="0"/>
                    <w:jc w:val="left"/>
                    <w:rPr>
                      <w:rFonts w:ascii="仿宋" w:hAnsi="仿宋" w:cs="Arial"/>
                      <w:b/>
                      <w:bCs/>
                      <w:sz w:val="28"/>
                      <w:szCs w:val="28"/>
                    </w:rPr>
                  </w:pPr>
                  <w:r>
                    <w:rPr>
                      <w:rFonts w:hint="eastAsia" w:ascii="仿宋" w:hAnsi="仿宋" w:cs="Arial"/>
                      <w:b/>
                      <w:bCs/>
                      <w:sz w:val="28"/>
                      <w:szCs w:val="28"/>
                    </w:rPr>
                    <w:t>相关地域市场</w:t>
                  </w:r>
                </w:p>
              </w:tc>
              <w:tc>
                <w:tcPr>
                  <w:tcW w:w="2466" w:type="dxa"/>
                </w:tcPr>
                <w:p>
                  <w:pPr>
                    <w:widowControl/>
                    <w:snapToGrid w:val="0"/>
                    <w:jc w:val="left"/>
                    <w:rPr>
                      <w:rFonts w:ascii="仿宋" w:hAnsi="仿宋" w:cs="Arial"/>
                      <w:b/>
                      <w:bCs/>
                      <w:sz w:val="28"/>
                      <w:szCs w:val="28"/>
                    </w:rPr>
                  </w:pPr>
                  <w:r>
                    <w:rPr>
                      <w:rFonts w:ascii="仿宋" w:hAnsi="仿宋" w:cs="Arial"/>
                      <w:b/>
                      <w:bCs/>
                      <w:sz w:val="28"/>
                      <w:szCs w:val="28"/>
                    </w:rPr>
                    <w:t>2021</w:t>
                  </w:r>
                  <w:r>
                    <w:rPr>
                      <w:rFonts w:hint="eastAsia" w:ascii="仿宋" w:hAnsi="仿宋" w:cs="Arial"/>
                      <w:b/>
                      <w:bCs/>
                      <w:sz w:val="28"/>
                      <w:szCs w:val="28"/>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pPr>
                    <w:widowControl/>
                    <w:snapToGrid w:val="0"/>
                    <w:rPr>
                      <w:rFonts w:ascii="仿宋" w:hAnsi="仿宋" w:cs="Arial"/>
                      <w:i/>
                      <w:iCs/>
                      <w:sz w:val="28"/>
                      <w:szCs w:val="28"/>
                    </w:rPr>
                  </w:pPr>
                  <w:r>
                    <w:rPr>
                      <w:rFonts w:hint="eastAsia" w:ascii="仿宋" w:hAnsi="仿宋" w:cs="Arial"/>
                      <w:i/>
                      <w:iCs/>
                      <w:sz w:val="28"/>
                      <w:szCs w:val="28"/>
                    </w:rPr>
                    <w:t>上游：集装箱堆场服务市场</w:t>
                  </w:r>
                </w:p>
                <w:p>
                  <w:pPr>
                    <w:widowControl/>
                    <w:snapToGrid w:val="0"/>
                    <w:rPr>
                      <w:rFonts w:ascii="仿宋" w:hAnsi="仿宋" w:cs="Arial"/>
                      <w:i/>
                      <w:iCs/>
                      <w:sz w:val="28"/>
                      <w:szCs w:val="28"/>
                    </w:rPr>
                  </w:pPr>
                  <w:r>
                    <w:rPr>
                      <w:rFonts w:hint="eastAsia" w:ascii="仿宋" w:hAnsi="仿宋" w:cs="Arial"/>
                      <w:i/>
                      <w:iCs/>
                      <w:sz w:val="28"/>
                      <w:szCs w:val="28"/>
                    </w:rPr>
                    <w:t>下游：国际海运货物运输代理市场</w:t>
                  </w:r>
                </w:p>
              </w:tc>
              <w:tc>
                <w:tcPr>
                  <w:tcW w:w="2414" w:type="dxa"/>
                </w:tcPr>
                <w:p>
                  <w:pPr>
                    <w:widowControl/>
                    <w:snapToGrid w:val="0"/>
                    <w:rPr>
                      <w:rFonts w:ascii="仿宋" w:hAnsi="仿宋" w:cs="Arial"/>
                      <w:i/>
                      <w:iCs/>
                      <w:sz w:val="28"/>
                      <w:szCs w:val="28"/>
                    </w:rPr>
                  </w:pPr>
                  <w:r>
                    <w:rPr>
                      <w:rFonts w:hint="eastAsia" w:ascii="仿宋" w:hAnsi="仿宋" w:cs="Arial"/>
                      <w:i/>
                      <w:iCs/>
                      <w:sz w:val="28"/>
                      <w:szCs w:val="28"/>
                    </w:rPr>
                    <w:t>上游：上海港区</w:t>
                  </w:r>
                </w:p>
                <w:p>
                  <w:pPr>
                    <w:widowControl/>
                    <w:snapToGrid w:val="0"/>
                    <w:rPr>
                      <w:rFonts w:ascii="仿宋" w:hAnsi="仿宋" w:cs="Arial"/>
                      <w:i/>
                      <w:iCs/>
                      <w:sz w:val="28"/>
                      <w:szCs w:val="28"/>
                    </w:rPr>
                  </w:pPr>
                  <w:r>
                    <w:rPr>
                      <w:rFonts w:hint="eastAsia" w:ascii="仿宋" w:hAnsi="仿宋" w:cs="Arial"/>
                      <w:i/>
                      <w:iCs/>
                      <w:sz w:val="28"/>
                      <w:szCs w:val="28"/>
                    </w:rPr>
                    <w:t>下游：中国境内</w:t>
                  </w:r>
                </w:p>
              </w:tc>
              <w:tc>
                <w:tcPr>
                  <w:tcW w:w="2466" w:type="dxa"/>
                </w:tcPr>
                <w:p>
                  <w:pPr>
                    <w:widowControl/>
                    <w:snapToGrid w:val="0"/>
                    <w:rPr>
                      <w:rFonts w:ascii="仿宋" w:hAnsi="仿宋" w:cs="Arial"/>
                      <w:i/>
                      <w:iCs/>
                      <w:sz w:val="28"/>
                      <w:szCs w:val="28"/>
                    </w:rPr>
                  </w:pPr>
                  <w:r>
                    <w:rPr>
                      <w:rFonts w:hint="eastAsia" w:ascii="仿宋" w:hAnsi="仿宋" w:cs="Arial"/>
                      <w:i/>
                      <w:iCs/>
                      <w:sz w:val="28"/>
                      <w:szCs w:val="28"/>
                    </w:rPr>
                    <w:t>上游：上海港区集装箱堆场服务市场</w:t>
                  </w:r>
                </w:p>
                <w:p>
                  <w:pPr>
                    <w:widowControl/>
                    <w:snapToGrid w:val="0"/>
                    <w:jc w:val="left"/>
                    <w:rPr>
                      <w:rFonts w:ascii="仿宋" w:hAnsi="仿宋" w:cs="Arial"/>
                      <w:i/>
                      <w:iCs/>
                      <w:sz w:val="28"/>
                      <w:szCs w:val="28"/>
                    </w:rPr>
                  </w:pPr>
                  <w:r>
                    <w:rPr>
                      <w:rFonts w:hint="eastAsia" w:ascii="仿宋" w:hAnsi="仿宋" w:cs="Arial"/>
                      <w:i/>
                      <w:iCs/>
                      <w:sz w:val="28"/>
                      <w:szCs w:val="28"/>
                    </w:rPr>
                    <w:t>同盛物流：5</w:t>
                  </w:r>
                  <w:r>
                    <w:rPr>
                      <w:rFonts w:ascii="仿宋" w:hAnsi="仿宋" w:cs="Arial"/>
                      <w:i/>
                      <w:iCs/>
                      <w:sz w:val="28"/>
                      <w:szCs w:val="28"/>
                    </w:rPr>
                    <w:t>-10%</w:t>
                  </w:r>
                </w:p>
                <w:p>
                  <w:pPr>
                    <w:widowControl/>
                    <w:snapToGrid w:val="0"/>
                    <w:jc w:val="left"/>
                    <w:rPr>
                      <w:rFonts w:ascii="仿宋" w:hAnsi="仿宋" w:cs="Arial"/>
                      <w:i/>
                      <w:iCs/>
                      <w:sz w:val="28"/>
                      <w:szCs w:val="28"/>
                    </w:rPr>
                  </w:pPr>
                  <w:r>
                    <w:rPr>
                      <w:rFonts w:hint="eastAsia" w:ascii="仿宋" w:hAnsi="仿宋" w:cs="Arial"/>
                      <w:i/>
                      <w:iCs/>
                      <w:sz w:val="28"/>
                      <w:szCs w:val="28"/>
                    </w:rPr>
                    <w:t>合资公司：0</w:t>
                  </w:r>
                  <w:r>
                    <w:rPr>
                      <w:rFonts w:ascii="仿宋" w:hAnsi="仿宋" w:cs="Arial"/>
                      <w:i/>
                      <w:iCs/>
                      <w:sz w:val="28"/>
                      <w:szCs w:val="28"/>
                    </w:rPr>
                    <w:t>-2%</w:t>
                  </w:r>
                </w:p>
                <w:p>
                  <w:pPr>
                    <w:widowControl/>
                    <w:snapToGrid w:val="0"/>
                    <w:rPr>
                      <w:rFonts w:ascii="仿宋" w:hAnsi="仿宋" w:cs="Arial"/>
                      <w:i/>
                      <w:iCs/>
                      <w:sz w:val="28"/>
                      <w:szCs w:val="28"/>
                    </w:rPr>
                  </w:pPr>
                  <w:r>
                    <w:rPr>
                      <w:rFonts w:hint="eastAsia" w:ascii="仿宋" w:hAnsi="仿宋" w:cs="Arial"/>
                      <w:i/>
                      <w:iCs/>
                      <w:sz w:val="28"/>
                      <w:szCs w:val="28"/>
                    </w:rPr>
                    <w:t>双方合计：5-</w:t>
                  </w:r>
                  <w:r>
                    <w:rPr>
                      <w:rFonts w:ascii="仿宋" w:hAnsi="仿宋" w:cs="Arial"/>
                      <w:i/>
                      <w:iCs/>
                      <w:sz w:val="28"/>
                      <w:szCs w:val="28"/>
                    </w:rPr>
                    <w:t>12%</w:t>
                  </w:r>
                  <w:r>
                    <w:rPr>
                      <w:rFonts w:hint="eastAsia" w:ascii="仿宋" w:hAnsi="仿宋" w:cs="Arial"/>
                      <w:i/>
                      <w:iCs/>
                      <w:sz w:val="28"/>
                      <w:szCs w:val="28"/>
                    </w:rPr>
                    <w:t>下游：中国境内国际海运货物运输代理市场</w:t>
                  </w:r>
                </w:p>
                <w:p>
                  <w:pPr>
                    <w:widowControl/>
                    <w:snapToGrid w:val="0"/>
                    <w:rPr>
                      <w:rFonts w:ascii="仿宋" w:hAnsi="仿宋" w:cs="Arial"/>
                      <w:i/>
                      <w:iCs/>
                      <w:sz w:val="28"/>
                      <w:szCs w:val="28"/>
                    </w:rPr>
                  </w:pPr>
                  <w:r>
                    <w:rPr>
                      <w:rFonts w:hint="eastAsia" w:ascii="仿宋" w:hAnsi="仿宋" w:cs="Arial"/>
                      <w:i/>
                      <w:iCs/>
                      <w:sz w:val="28"/>
                      <w:szCs w:val="28"/>
                    </w:rPr>
                    <w:t>同盛物流：0</w:t>
                  </w:r>
                  <w:r>
                    <w:rPr>
                      <w:rFonts w:ascii="仿宋" w:hAnsi="仿宋" w:cs="Arial"/>
                      <w:i/>
                      <w:iCs/>
                      <w:sz w:val="28"/>
                      <w:szCs w:val="28"/>
                    </w:rPr>
                    <w:t>-5%</w:t>
                  </w:r>
                </w:p>
                <w:p>
                  <w:pPr>
                    <w:widowControl/>
                    <w:snapToGrid w:val="0"/>
                    <w:rPr>
                      <w:rFonts w:ascii="仿宋" w:hAnsi="仿宋" w:cs="Arial"/>
                      <w:i/>
                      <w:iCs/>
                      <w:sz w:val="28"/>
                      <w:szCs w:val="28"/>
                    </w:rPr>
                  </w:pPr>
                </w:p>
              </w:tc>
            </w:tr>
          </w:tbl>
          <w:p>
            <w:pPr>
              <w:widowControl/>
              <w:snapToGrid w:val="0"/>
              <w:ind w:left="360"/>
              <w:jc w:val="left"/>
              <w:rPr>
                <w:rFonts w:ascii="仿宋" w:hAnsi="仿宋" w:cs="Arial"/>
                <w:sz w:val="28"/>
                <w:szCs w:val="28"/>
              </w:rPr>
            </w:pPr>
          </w:p>
        </w:tc>
      </w:tr>
    </w:tbl>
    <w:p>
      <w:pPr>
        <w:snapToGrid w:val="0"/>
        <w:spacing w:line="240" w:lineRule="exact"/>
        <w:jc w:val="left"/>
      </w:pPr>
    </w:p>
    <w:p>
      <w:pPr>
        <w:spacing w:line="360" w:lineRule="auto"/>
        <w:ind w:firstLine="420" w:firstLineChars="20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w:altName w:val="Times New Roman"/>
    <w:panose1 w:val="020B0604020202020204"/>
    <w:charset w:val="00"/>
    <w:family w:val="swiss"/>
    <w:pitch w:val="default"/>
    <w:sig w:usb0="00000000" w:usb1="00000000" w:usb2="00000009"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removePersonalInformation/>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2479D"/>
    <w:rsid w:val="00035A82"/>
    <w:rsid w:val="00037530"/>
    <w:rsid w:val="00045100"/>
    <w:rsid w:val="000571FD"/>
    <w:rsid w:val="000654B2"/>
    <w:rsid w:val="000700E1"/>
    <w:rsid w:val="000703BE"/>
    <w:rsid w:val="00073949"/>
    <w:rsid w:val="00073DB7"/>
    <w:rsid w:val="0009242A"/>
    <w:rsid w:val="00093D0D"/>
    <w:rsid w:val="00094095"/>
    <w:rsid w:val="000A5481"/>
    <w:rsid w:val="000A59A8"/>
    <w:rsid w:val="000B0615"/>
    <w:rsid w:val="000D0EA9"/>
    <w:rsid w:val="000D3951"/>
    <w:rsid w:val="000D6A31"/>
    <w:rsid w:val="000E149B"/>
    <w:rsid w:val="000E766D"/>
    <w:rsid w:val="00101756"/>
    <w:rsid w:val="001027E0"/>
    <w:rsid w:val="001205CE"/>
    <w:rsid w:val="0013310A"/>
    <w:rsid w:val="00137E6C"/>
    <w:rsid w:val="00145508"/>
    <w:rsid w:val="001648D5"/>
    <w:rsid w:val="001709DF"/>
    <w:rsid w:val="00172D8F"/>
    <w:rsid w:val="001913C3"/>
    <w:rsid w:val="00191CBA"/>
    <w:rsid w:val="001944FF"/>
    <w:rsid w:val="001979D2"/>
    <w:rsid w:val="001B3283"/>
    <w:rsid w:val="001B59B4"/>
    <w:rsid w:val="001B7892"/>
    <w:rsid w:val="001B7F8E"/>
    <w:rsid w:val="001D0D17"/>
    <w:rsid w:val="001E2B01"/>
    <w:rsid w:val="001F7F49"/>
    <w:rsid w:val="00202B03"/>
    <w:rsid w:val="0020501F"/>
    <w:rsid w:val="00235846"/>
    <w:rsid w:val="00240C0B"/>
    <w:rsid w:val="002419D7"/>
    <w:rsid w:val="00245776"/>
    <w:rsid w:val="002613FF"/>
    <w:rsid w:val="00263B3C"/>
    <w:rsid w:val="00266059"/>
    <w:rsid w:val="00267E31"/>
    <w:rsid w:val="0027718A"/>
    <w:rsid w:val="002805CE"/>
    <w:rsid w:val="0029751E"/>
    <w:rsid w:val="002A5EC2"/>
    <w:rsid w:val="002B7DDF"/>
    <w:rsid w:val="002D17EF"/>
    <w:rsid w:val="002E38F0"/>
    <w:rsid w:val="002F2D60"/>
    <w:rsid w:val="002F66E5"/>
    <w:rsid w:val="00303602"/>
    <w:rsid w:val="00304062"/>
    <w:rsid w:val="0030730C"/>
    <w:rsid w:val="00307976"/>
    <w:rsid w:val="00310057"/>
    <w:rsid w:val="00317AB3"/>
    <w:rsid w:val="0033305D"/>
    <w:rsid w:val="0033704E"/>
    <w:rsid w:val="003439C2"/>
    <w:rsid w:val="00350C89"/>
    <w:rsid w:val="0035413C"/>
    <w:rsid w:val="003773CC"/>
    <w:rsid w:val="00381ACA"/>
    <w:rsid w:val="003B5C8E"/>
    <w:rsid w:val="003C43CB"/>
    <w:rsid w:val="003C7576"/>
    <w:rsid w:val="003D1E34"/>
    <w:rsid w:val="003D2A38"/>
    <w:rsid w:val="003D5C04"/>
    <w:rsid w:val="003E15BE"/>
    <w:rsid w:val="003E296B"/>
    <w:rsid w:val="003E2E2D"/>
    <w:rsid w:val="003E6A55"/>
    <w:rsid w:val="003F6897"/>
    <w:rsid w:val="00400C3F"/>
    <w:rsid w:val="0043241E"/>
    <w:rsid w:val="00433887"/>
    <w:rsid w:val="004446A5"/>
    <w:rsid w:val="004618C7"/>
    <w:rsid w:val="00462174"/>
    <w:rsid w:val="004646FA"/>
    <w:rsid w:val="004751AC"/>
    <w:rsid w:val="00481719"/>
    <w:rsid w:val="004911B1"/>
    <w:rsid w:val="0049421E"/>
    <w:rsid w:val="004A1773"/>
    <w:rsid w:val="004B58FC"/>
    <w:rsid w:val="004B5FBC"/>
    <w:rsid w:val="004C38CE"/>
    <w:rsid w:val="004C561B"/>
    <w:rsid w:val="004F351E"/>
    <w:rsid w:val="004F5CBC"/>
    <w:rsid w:val="005060EC"/>
    <w:rsid w:val="005146E7"/>
    <w:rsid w:val="0052095E"/>
    <w:rsid w:val="00520D42"/>
    <w:rsid w:val="005426C4"/>
    <w:rsid w:val="0054341C"/>
    <w:rsid w:val="00556E0D"/>
    <w:rsid w:val="00562DCE"/>
    <w:rsid w:val="00577317"/>
    <w:rsid w:val="005809A0"/>
    <w:rsid w:val="00583615"/>
    <w:rsid w:val="005870D7"/>
    <w:rsid w:val="0059266D"/>
    <w:rsid w:val="00597123"/>
    <w:rsid w:val="005E4246"/>
    <w:rsid w:val="005E6F7A"/>
    <w:rsid w:val="005E7932"/>
    <w:rsid w:val="005F0C54"/>
    <w:rsid w:val="005F167B"/>
    <w:rsid w:val="005F70F3"/>
    <w:rsid w:val="0061158F"/>
    <w:rsid w:val="00611D7A"/>
    <w:rsid w:val="006217A8"/>
    <w:rsid w:val="00633B50"/>
    <w:rsid w:val="00635D67"/>
    <w:rsid w:val="00647519"/>
    <w:rsid w:val="00653B35"/>
    <w:rsid w:val="006679CF"/>
    <w:rsid w:val="00676365"/>
    <w:rsid w:val="006819A0"/>
    <w:rsid w:val="006A3C43"/>
    <w:rsid w:val="006B3F05"/>
    <w:rsid w:val="006C218A"/>
    <w:rsid w:val="006C65B4"/>
    <w:rsid w:val="006C7436"/>
    <w:rsid w:val="006D2D6A"/>
    <w:rsid w:val="006E3952"/>
    <w:rsid w:val="006F3DED"/>
    <w:rsid w:val="007068BF"/>
    <w:rsid w:val="00716A63"/>
    <w:rsid w:val="007209FC"/>
    <w:rsid w:val="007327D8"/>
    <w:rsid w:val="00742022"/>
    <w:rsid w:val="00750206"/>
    <w:rsid w:val="00752412"/>
    <w:rsid w:val="007533AA"/>
    <w:rsid w:val="00767C3A"/>
    <w:rsid w:val="00783A00"/>
    <w:rsid w:val="007A38C7"/>
    <w:rsid w:val="007B3834"/>
    <w:rsid w:val="007C5F6F"/>
    <w:rsid w:val="007D4CFF"/>
    <w:rsid w:val="007E01A6"/>
    <w:rsid w:val="00814098"/>
    <w:rsid w:val="00816C7C"/>
    <w:rsid w:val="0082167A"/>
    <w:rsid w:val="00826CD0"/>
    <w:rsid w:val="00832D75"/>
    <w:rsid w:val="0084163F"/>
    <w:rsid w:val="008443BF"/>
    <w:rsid w:val="00845C14"/>
    <w:rsid w:val="00847AF2"/>
    <w:rsid w:val="0085157F"/>
    <w:rsid w:val="00851ED3"/>
    <w:rsid w:val="008571F5"/>
    <w:rsid w:val="00875B2A"/>
    <w:rsid w:val="0087668D"/>
    <w:rsid w:val="008874EE"/>
    <w:rsid w:val="008A1EE9"/>
    <w:rsid w:val="008A7ED4"/>
    <w:rsid w:val="008B2540"/>
    <w:rsid w:val="008B533B"/>
    <w:rsid w:val="008C5631"/>
    <w:rsid w:val="008D30FD"/>
    <w:rsid w:val="008E0777"/>
    <w:rsid w:val="008E2AB5"/>
    <w:rsid w:val="008E36B2"/>
    <w:rsid w:val="008E47E2"/>
    <w:rsid w:val="008E58AF"/>
    <w:rsid w:val="008F121B"/>
    <w:rsid w:val="008F5ADC"/>
    <w:rsid w:val="00902A89"/>
    <w:rsid w:val="00902FE0"/>
    <w:rsid w:val="00903C72"/>
    <w:rsid w:val="009053CE"/>
    <w:rsid w:val="00905BC2"/>
    <w:rsid w:val="00907D46"/>
    <w:rsid w:val="00923946"/>
    <w:rsid w:val="00926671"/>
    <w:rsid w:val="009278A0"/>
    <w:rsid w:val="00947D01"/>
    <w:rsid w:val="00967230"/>
    <w:rsid w:val="0099199A"/>
    <w:rsid w:val="00997B88"/>
    <w:rsid w:val="009A39BA"/>
    <w:rsid w:val="009A78D7"/>
    <w:rsid w:val="009B393F"/>
    <w:rsid w:val="009B6204"/>
    <w:rsid w:val="009E115F"/>
    <w:rsid w:val="009E26FD"/>
    <w:rsid w:val="009E4C82"/>
    <w:rsid w:val="009E5FF1"/>
    <w:rsid w:val="00A04764"/>
    <w:rsid w:val="00A06A8C"/>
    <w:rsid w:val="00A26EA8"/>
    <w:rsid w:val="00A364FA"/>
    <w:rsid w:val="00A40DD4"/>
    <w:rsid w:val="00A43CE7"/>
    <w:rsid w:val="00A45793"/>
    <w:rsid w:val="00A45ACE"/>
    <w:rsid w:val="00A65E67"/>
    <w:rsid w:val="00A82097"/>
    <w:rsid w:val="00A82FD4"/>
    <w:rsid w:val="00A85100"/>
    <w:rsid w:val="00A93E85"/>
    <w:rsid w:val="00AB3A08"/>
    <w:rsid w:val="00AB4317"/>
    <w:rsid w:val="00AC03FC"/>
    <w:rsid w:val="00AC4E96"/>
    <w:rsid w:val="00AD7C47"/>
    <w:rsid w:val="00AE009B"/>
    <w:rsid w:val="00AE290A"/>
    <w:rsid w:val="00AE5DC8"/>
    <w:rsid w:val="00AF49A1"/>
    <w:rsid w:val="00B07BB1"/>
    <w:rsid w:val="00B10430"/>
    <w:rsid w:val="00B136F7"/>
    <w:rsid w:val="00B233E2"/>
    <w:rsid w:val="00B33BA6"/>
    <w:rsid w:val="00B36A4F"/>
    <w:rsid w:val="00B36F80"/>
    <w:rsid w:val="00B46F3D"/>
    <w:rsid w:val="00B70CED"/>
    <w:rsid w:val="00B72224"/>
    <w:rsid w:val="00B773B7"/>
    <w:rsid w:val="00B82890"/>
    <w:rsid w:val="00B91D18"/>
    <w:rsid w:val="00BA0750"/>
    <w:rsid w:val="00BA0752"/>
    <w:rsid w:val="00BA192B"/>
    <w:rsid w:val="00BA7CF3"/>
    <w:rsid w:val="00BB0BD8"/>
    <w:rsid w:val="00BB2377"/>
    <w:rsid w:val="00BB64E6"/>
    <w:rsid w:val="00BC45A0"/>
    <w:rsid w:val="00BD0100"/>
    <w:rsid w:val="00BD2CA2"/>
    <w:rsid w:val="00BD65A2"/>
    <w:rsid w:val="00BE0B2A"/>
    <w:rsid w:val="00BE25B9"/>
    <w:rsid w:val="00BE6716"/>
    <w:rsid w:val="00C00C7B"/>
    <w:rsid w:val="00C16A45"/>
    <w:rsid w:val="00C220D7"/>
    <w:rsid w:val="00C3147A"/>
    <w:rsid w:val="00C326AD"/>
    <w:rsid w:val="00C440BD"/>
    <w:rsid w:val="00C605C5"/>
    <w:rsid w:val="00C618DD"/>
    <w:rsid w:val="00C63BB2"/>
    <w:rsid w:val="00C67C2F"/>
    <w:rsid w:val="00C9068E"/>
    <w:rsid w:val="00C9172A"/>
    <w:rsid w:val="00CC4327"/>
    <w:rsid w:val="00CD6DAA"/>
    <w:rsid w:val="00CD78C9"/>
    <w:rsid w:val="00CE6852"/>
    <w:rsid w:val="00D00072"/>
    <w:rsid w:val="00D05BE2"/>
    <w:rsid w:val="00D05BF9"/>
    <w:rsid w:val="00D175CB"/>
    <w:rsid w:val="00D21777"/>
    <w:rsid w:val="00D31776"/>
    <w:rsid w:val="00D96BB4"/>
    <w:rsid w:val="00DD1D11"/>
    <w:rsid w:val="00DE21FA"/>
    <w:rsid w:val="00E11400"/>
    <w:rsid w:val="00E232A8"/>
    <w:rsid w:val="00E47FAD"/>
    <w:rsid w:val="00E50802"/>
    <w:rsid w:val="00E51E5F"/>
    <w:rsid w:val="00E53E71"/>
    <w:rsid w:val="00E56B1E"/>
    <w:rsid w:val="00E5701D"/>
    <w:rsid w:val="00E62DED"/>
    <w:rsid w:val="00E637AB"/>
    <w:rsid w:val="00E657C4"/>
    <w:rsid w:val="00E74207"/>
    <w:rsid w:val="00E75B92"/>
    <w:rsid w:val="00E803C1"/>
    <w:rsid w:val="00E809AC"/>
    <w:rsid w:val="00E81511"/>
    <w:rsid w:val="00E869A8"/>
    <w:rsid w:val="00E93F19"/>
    <w:rsid w:val="00E95D57"/>
    <w:rsid w:val="00EC41A0"/>
    <w:rsid w:val="00EC6318"/>
    <w:rsid w:val="00EC67B2"/>
    <w:rsid w:val="00EC7C40"/>
    <w:rsid w:val="00ED21B1"/>
    <w:rsid w:val="00ED4680"/>
    <w:rsid w:val="00ED4E19"/>
    <w:rsid w:val="00EE6323"/>
    <w:rsid w:val="00EF281C"/>
    <w:rsid w:val="00EF3C8C"/>
    <w:rsid w:val="00F01D28"/>
    <w:rsid w:val="00F15C98"/>
    <w:rsid w:val="00F2146A"/>
    <w:rsid w:val="00F223DE"/>
    <w:rsid w:val="00F26A0F"/>
    <w:rsid w:val="00F3003C"/>
    <w:rsid w:val="00F417D2"/>
    <w:rsid w:val="00F418EA"/>
    <w:rsid w:val="00F73AA4"/>
    <w:rsid w:val="00F810A8"/>
    <w:rsid w:val="00F84765"/>
    <w:rsid w:val="00F848F3"/>
    <w:rsid w:val="00F84A27"/>
    <w:rsid w:val="00F85A59"/>
    <w:rsid w:val="00F86481"/>
    <w:rsid w:val="00F87C1F"/>
    <w:rsid w:val="00F96AAD"/>
    <w:rsid w:val="00F97C81"/>
    <w:rsid w:val="00FB17D3"/>
    <w:rsid w:val="00FB65C4"/>
    <w:rsid w:val="00FD391D"/>
    <w:rsid w:val="00FD3D7D"/>
    <w:rsid w:val="00FE7106"/>
    <w:rsid w:val="00FF7735"/>
    <w:rsid w:val="7DE771D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endnote text"/>
    <w:basedOn w:val="1"/>
    <w:link w:val="13"/>
    <w:semiHidden/>
    <w:unhideWhenUsed/>
    <w:qFormat/>
    <w:uiPriority w:val="99"/>
    <w:pPr>
      <w:snapToGrid w:val="0"/>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semiHidden/>
    <w:unhideWhenUsed/>
    <w:qFormat/>
    <w:uiPriority w:val="99"/>
    <w:rPr>
      <w:vertAlign w:val="superscript"/>
    </w:rPr>
  </w:style>
  <w:style w:type="character" w:styleId="12">
    <w:name w:val="annotation reference"/>
    <w:basedOn w:val="10"/>
    <w:semiHidden/>
    <w:unhideWhenUsed/>
    <w:qFormat/>
    <w:uiPriority w:val="99"/>
    <w:rPr>
      <w:sz w:val="21"/>
      <w:szCs w:val="21"/>
    </w:rPr>
  </w:style>
  <w:style w:type="character" w:customStyle="1" w:styleId="13">
    <w:name w:val="尾注文本 字符"/>
    <w:basedOn w:val="10"/>
    <w:link w:val="3"/>
    <w:semiHidden/>
    <w:qFormat/>
    <w:uiPriority w:val="99"/>
  </w:style>
  <w:style w:type="character" w:customStyle="1" w:styleId="14">
    <w:name w:val="页眉 字符"/>
    <w:link w:val="6"/>
    <w:qFormat/>
    <w:uiPriority w:val="99"/>
    <w:rPr>
      <w:sz w:val="18"/>
      <w:szCs w:val="18"/>
    </w:rPr>
  </w:style>
  <w:style w:type="character" w:customStyle="1" w:styleId="15">
    <w:name w:val="页脚 字符"/>
    <w:link w:val="5"/>
    <w:qFormat/>
    <w:uiPriority w:val="99"/>
    <w:rPr>
      <w:sz w:val="18"/>
      <w:szCs w:val="18"/>
    </w:rPr>
  </w:style>
  <w:style w:type="character" w:customStyle="1" w:styleId="16">
    <w:name w:val="批注框文本 字符"/>
    <w:link w:val="4"/>
    <w:semiHidden/>
    <w:qFormat/>
    <w:uiPriority w:val="99"/>
    <w:rPr>
      <w:kern w:val="2"/>
      <w:sz w:val="18"/>
      <w:szCs w:val="18"/>
    </w:rPr>
  </w:style>
  <w:style w:type="character" w:customStyle="1" w:styleId="17">
    <w:name w:val="批注文字 字符"/>
    <w:basedOn w:val="10"/>
    <w:link w:val="2"/>
    <w:semiHidden/>
    <w:qFormat/>
    <w:uiPriority w:val="99"/>
    <w:rPr>
      <w:kern w:val="2"/>
      <w:sz w:val="21"/>
      <w:szCs w:val="22"/>
    </w:rPr>
  </w:style>
  <w:style w:type="character" w:customStyle="1" w:styleId="18">
    <w:name w:val="批注主题 字符"/>
    <w:basedOn w:val="17"/>
    <w:link w:val="7"/>
    <w:semiHidden/>
    <w:qFormat/>
    <w:uiPriority w:val="99"/>
    <w:rPr>
      <w:b/>
      <w:bCs/>
      <w:kern w:val="2"/>
      <w:sz w:val="21"/>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225</Words>
  <Characters>1289</Characters>
  <Lines>10</Lines>
  <Paragraphs>3</Paragraphs>
  <TotalTime>0</TotalTime>
  <ScaleCrop>false</ScaleCrop>
  <LinksUpToDate>false</LinksUpToDate>
  <CharactersWithSpaces>1511</CharactersWithSpaces>
  <Application>WPS Office_11.8.2.11653_F1E327BC-269C-435d-A152-05C5408002CA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2022-08-30T16:17:00Z</dcterms:created>
  <dcterms:modified xsi:type="dcterms:W3CDTF">2022-10-11T10:32:22Z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2052-11.8.2.11653</vt:lpwstr>
  </property>
  <property fmtid="{D5CDD505-2E9C-101B-9397-08002B2CF9AE}" pid="3" name="ICV">
    <vt:lpwstr>3E69E4CB0A27913DB6D544636CA69399</vt:lpwstr>
  </property>
</Properties>
</file>