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黑体" w:hAnsi="黑体" w:eastAsia="黑体"/>
          <w:sz w:val="36"/>
          <w:szCs w:val="36"/>
        </w:rPr>
      </w:pPr>
      <w:r>
        <w:rPr>
          <w:rFonts w:ascii="黑体" w:hAnsi="黑体" w:eastAsia="黑体"/>
          <w:sz w:val="36"/>
          <w:szCs w:val="36"/>
        </w:rPr>
        <w:t>经营者集中简易案件公示表</w:t>
      </w:r>
    </w:p>
    <w:p>
      <w:pPr>
        <w:spacing w:line="440" w:lineRule="exact"/>
        <w:jc w:val="center"/>
        <w:rPr>
          <w:rFonts w:ascii="Times New Roman" w:hAnsi="Times New Roman"/>
          <w:sz w:val="28"/>
          <w:szCs w:val="28"/>
        </w:rPr>
      </w:pPr>
    </w:p>
    <w:tbl>
      <w:tblPr>
        <w:tblStyle w:val="9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47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sz w:val="24"/>
                <w:szCs w:val="24"/>
              </w:rPr>
              <w:t>案件名称</w:t>
            </w:r>
          </w:p>
        </w:tc>
        <w:tc>
          <w:tcPr>
            <w:tcW w:w="6550" w:type="dxa"/>
            <w:gridSpan w:val="2"/>
            <w:shd w:val="clear" w:color="auto" w:fill="auto"/>
            <w:vAlign w:val="center"/>
          </w:tcPr>
          <w:p>
            <w:pPr>
              <w:spacing w:before="156" w:beforeLines="50" w:after="156" w:afterLines="5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  <w:lang w:val="en-GB"/>
              </w:rPr>
              <w:t>卡塔尔能源油气第二公司</w:t>
            </w:r>
            <w:r>
              <w:rPr>
                <w:rFonts w:hint="eastAsia" w:ascii="宋体" w:hAnsi="宋体"/>
                <w:color w:val="000000"/>
                <w:sz w:val="24"/>
                <w:szCs w:val="24"/>
              </w:rPr>
              <w:t>与雪佛龙菲利普斯化工有限责任公司新设合营企业案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sz w:val="24"/>
                <w:szCs w:val="24"/>
              </w:rPr>
              <w:t>交易概况（限200字内）</w:t>
            </w:r>
          </w:p>
        </w:tc>
        <w:tc>
          <w:tcPr>
            <w:tcW w:w="6550" w:type="dxa"/>
            <w:gridSpan w:val="2"/>
          </w:tcPr>
          <w:p>
            <w:pPr>
              <w:tabs>
                <w:tab w:val="left" w:pos="651"/>
              </w:tabs>
              <w:spacing w:before="156" w:beforeLines="50" w:after="156" w:afterLines="50"/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  <w:lang w:val="en-GB"/>
              </w:rPr>
              <w:t>卡塔尔能源油气第二公司（卡塔尔能源公司的全资子公司）</w:t>
            </w:r>
            <w:r>
              <w:rPr>
                <w:rFonts w:hint="eastAsia" w:ascii="宋体" w:hAnsi="宋体"/>
                <w:sz w:val="24"/>
                <w:szCs w:val="24"/>
              </w:rPr>
              <w:t>和阿拉伯雪佛龙菲利普斯石化有限责任公司（雪佛龙菲利普斯化工有限责任公司的全资子公司，与</w:t>
            </w:r>
            <w:r>
              <w:rPr>
                <w:rFonts w:hint="eastAsia" w:ascii="宋体" w:hAnsi="宋体"/>
                <w:sz w:val="24"/>
                <w:szCs w:val="24"/>
                <w:lang w:val="en-GB"/>
              </w:rPr>
              <w:t>卡塔尔能源油气第二公司合称</w:t>
            </w:r>
            <w:r>
              <w:rPr>
                <w:rFonts w:hint="eastAsia" w:ascii="宋体" w:hAnsi="宋体"/>
                <w:sz w:val="24"/>
                <w:szCs w:val="24"/>
              </w:rPr>
              <w:t>“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交易方</w:t>
            </w:r>
            <w:r>
              <w:rPr>
                <w:rFonts w:hint="eastAsia" w:ascii="宋体" w:hAnsi="宋体"/>
                <w:sz w:val="24"/>
                <w:szCs w:val="24"/>
              </w:rPr>
              <w:t>”）拟在卡塔尔设立一家合营企业（</w:t>
            </w:r>
            <w:r>
              <w:rPr>
                <w:rFonts w:ascii="宋体" w:hAnsi="宋体"/>
                <w:sz w:val="24"/>
                <w:szCs w:val="24"/>
              </w:rPr>
              <w:t>“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RLPP合营企业</w:t>
            </w:r>
            <w:r>
              <w:rPr>
                <w:rFonts w:hint="eastAsia" w:ascii="宋体" w:hAnsi="宋体"/>
                <w:sz w:val="24"/>
                <w:szCs w:val="24"/>
              </w:rPr>
              <w:t>”）。RLPP合营企业将在卡塔尔拉斯拉凡工业城开发、建设和运营石化设施，主要从事高密度聚乙烯的生产和销售。交易完成后，</w:t>
            </w:r>
            <w:r>
              <w:rPr>
                <w:rFonts w:hint="eastAsia" w:ascii="宋体" w:hAnsi="宋体"/>
                <w:sz w:val="24"/>
                <w:szCs w:val="24"/>
                <w:lang w:val="en-GB"/>
              </w:rPr>
              <w:t>卡塔尔能源油气第二公司</w:t>
            </w:r>
            <w:r>
              <w:rPr>
                <w:rFonts w:hint="eastAsia" w:ascii="宋体" w:hAnsi="宋体"/>
                <w:sz w:val="24"/>
                <w:szCs w:val="24"/>
              </w:rPr>
              <w:t>和雪佛龙菲利普斯化工有限责任公司（通过阿拉伯雪佛龙菲利普斯石化有限责任公司）将分别持有7</w:t>
            </w:r>
            <w:r>
              <w:rPr>
                <w:rFonts w:ascii="宋体" w:hAnsi="宋体"/>
                <w:sz w:val="24"/>
                <w:szCs w:val="24"/>
              </w:rPr>
              <w:t>0</w:t>
            </w:r>
            <w:r>
              <w:rPr>
                <w:rFonts w:hint="eastAsia" w:ascii="宋体" w:hAnsi="宋体"/>
                <w:sz w:val="24"/>
                <w:szCs w:val="24"/>
              </w:rPr>
              <w:t>%和3</w:t>
            </w:r>
            <w:r>
              <w:rPr>
                <w:rFonts w:ascii="宋体" w:hAnsi="宋体"/>
                <w:sz w:val="24"/>
                <w:szCs w:val="24"/>
              </w:rPr>
              <w:t>0</w:t>
            </w:r>
            <w:r>
              <w:rPr>
                <w:rFonts w:hint="eastAsia" w:ascii="宋体" w:hAnsi="宋体"/>
                <w:sz w:val="24"/>
                <w:szCs w:val="24"/>
              </w:rPr>
              <w:t>%的权益并共同控制RLPP合营企业。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>
            <w:pPr>
              <w:pStyle w:val="20"/>
              <w:numPr>
                <w:ilvl w:val="0"/>
                <w:numId w:val="1"/>
              </w:numPr>
              <w:spacing w:before="156" w:beforeLines="50" w:after="156" w:afterLines="50"/>
              <w:ind w:left="357" w:hanging="357" w:firstLineChars="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  <w:lang w:val="en-GB"/>
              </w:rPr>
              <w:t>卡塔尔能源油气第二公司</w:t>
            </w:r>
          </w:p>
        </w:tc>
        <w:tc>
          <w:tcPr>
            <w:tcW w:w="4754" w:type="dxa"/>
          </w:tcPr>
          <w:p>
            <w:pPr>
              <w:spacing w:before="156" w:beforeLines="50" w:after="156" w:afterLines="5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  <w:lang w:val="en-GB"/>
              </w:rPr>
              <w:t>卡塔尔能源油气第二公司</w:t>
            </w:r>
            <w:r>
              <w:rPr>
                <w:rFonts w:hint="eastAsia" w:ascii="宋体" w:hAnsi="宋体"/>
                <w:sz w:val="24"/>
                <w:szCs w:val="24"/>
              </w:rPr>
              <w:t>2</w:t>
            </w:r>
            <w:r>
              <w:rPr>
                <w:rFonts w:ascii="宋体" w:hAnsi="宋体"/>
                <w:sz w:val="24"/>
                <w:szCs w:val="24"/>
              </w:rPr>
              <w:t>016年</w:t>
            </w:r>
            <w:r>
              <w:rPr>
                <w:rFonts w:hint="eastAsia" w:ascii="宋体" w:hAnsi="宋体"/>
                <w:sz w:val="24"/>
                <w:szCs w:val="24"/>
              </w:rPr>
              <w:t>在美国</w:t>
            </w:r>
            <w:r>
              <w:rPr>
                <w:rFonts w:ascii="宋体" w:hAnsi="宋体"/>
                <w:sz w:val="24"/>
                <w:szCs w:val="24"/>
              </w:rPr>
              <w:t>设立</w:t>
            </w:r>
            <w:r>
              <w:rPr>
                <w:rFonts w:hint="eastAsia" w:ascii="宋体" w:hAnsi="宋体"/>
                <w:sz w:val="24"/>
                <w:szCs w:val="24"/>
              </w:rPr>
              <w:t>，</w:t>
            </w:r>
            <w:r>
              <w:rPr>
                <w:rFonts w:ascii="宋体" w:hAnsi="宋体"/>
                <w:sz w:val="24"/>
                <w:szCs w:val="24"/>
              </w:rPr>
              <w:t>是</w:t>
            </w:r>
            <w:r>
              <w:rPr>
                <w:rFonts w:hint="eastAsia" w:ascii="宋体" w:hAnsi="宋体"/>
                <w:sz w:val="24"/>
                <w:szCs w:val="24"/>
              </w:rPr>
              <w:t>一家控股公司，没有其他业务活动。</w:t>
            </w:r>
          </w:p>
          <w:p>
            <w:pPr>
              <w:spacing w:before="156" w:beforeLines="50" w:after="156" w:afterLines="5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  <w:lang w:val="en-GB"/>
              </w:rPr>
              <w:t>卡塔尔能源油气第二公司的最终控制人是卡塔尔能源公司，该公司</w:t>
            </w:r>
            <w:r>
              <w:rPr>
                <w:rFonts w:ascii="宋体" w:hAnsi="宋体"/>
                <w:sz w:val="24"/>
                <w:szCs w:val="24"/>
              </w:rPr>
              <w:t>是一家综合性</w:t>
            </w:r>
            <w:r>
              <w:rPr>
                <w:rFonts w:hint="eastAsia" w:ascii="宋体" w:hAnsi="宋体"/>
                <w:sz w:val="24"/>
                <w:szCs w:val="24"/>
              </w:rPr>
              <w:t>国家石油公司，负责卡塔尔及其他地区能源行业的可持续发展。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pStyle w:val="20"/>
              <w:numPr>
                <w:ilvl w:val="0"/>
                <w:numId w:val="1"/>
              </w:numPr>
              <w:spacing w:before="156" w:beforeLines="50" w:after="156" w:afterLines="50"/>
              <w:ind w:firstLineChars="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雪佛龙菲利普斯化工有限责任公司</w:t>
            </w:r>
          </w:p>
        </w:tc>
        <w:tc>
          <w:tcPr>
            <w:tcW w:w="4754" w:type="dxa"/>
          </w:tcPr>
          <w:p>
            <w:pPr>
              <w:spacing w:before="156" w:beforeLines="50" w:after="156" w:afterLines="50"/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雪佛龙菲利普斯化工有限责任公司</w:t>
            </w:r>
            <w:r>
              <w:rPr>
                <w:rFonts w:hint="eastAsia" w:ascii="宋体" w:hAnsi="宋体"/>
                <w:color w:val="000000"/>
                <w:sz w:val="24"/>
                <w:szCs w:val="24"/>
              </w:rPr>
              <w:t>2</w:t>
            </w:r>
            <w:r>
              <w:rPr>
                <w:rFonts w:ascii="宋体" w:hAnsi="宋体"/>
                <w:color w:val="000000"/>
                <w:sz w:val="24"/>
                <w:szCs w:val="24"/>
              </w:rPr>
              <w:t>000年</w:t>
            </w:r>
            <w:r>
              <w:rPr>
                <w:rFonts w:hint="eastAsia" w:ascii="宋体" w:hAnsi="宋体"/>
                <w:color w:val="000000"/>
                <w:sz w:val="24"/>
                <w:szCs w:val="24"/>
              </w:rPr>
              <w:t>在美国</w:t>
            </w:r>
            <w:r>
              <w:rPr>
                <w:rFonts w:ascii="宋体" w:hAnsi="宋体"/>
                <w:color w:val="000000"/>
                <w:sz w:val="24"/>
                <w:szCs w:val="24"/>
              </w:rPr>
              <w:t>设立</w:t>
            </w:r>
            <w:r>
              <w:rPr>
                <w:rFonts w:hint="eastAsia" w:ascii="宋体" w:hAnsi="宋体"/>
                <w:color w:val="000000"/>
                <w:sz w:val="24"/>
                <w:szCs w:val="24"/>
              </w:rPr>
              <w:t>，</w:t>
            </w:r>
            <w:r>
              <w:rPr>
                <w:rFonts w:ascii="宋体" w:hAnsi="宋体"/>
                <w:color w:val="000000"/>
                <w:sz w:val="24"/>
                <w:szCs w:val="24"/>
              </w:rPr>
              <w:t>在全球范围内生产各种石化产品，</w:t>
            </w:r>
            <w:r>
              <w:rPr>
                <w:rFonts w:hint="eastAsia" w:ascii="宋体" w:hAnsi="宋体"/>
                <w:color w:val="000000"/>
                <w:sz w:val="24"/>
                <w:szCs w:val="24"/>
              </w:rPr>
              <w:t>并提供</w:t>
            </w:r>
            <w:r>
              <w:rPr>
                <w:rFonts w:ascii="宋体" w:hAnsi="宋体"/>
                <w:color w:val="000000"/>
                <w:sz w:val="24"/>
                <w:szCs w:val="24"/>
              </w:rPr>
              <w:t>完整的化工解决方案和服务组合</w:t>
            </w:r>
            <w:r>
              <w:rPr>
                <w:rFonts w:hint="eastAsia" w:ascii="宋体" w:hAnsi="宋体"/>
                <w:color w:val="000000"/>
                <w:sz w:val="24"/>
                <w:szCs w:val="24"/>
              </w:rPr>
              <w:t>。</w:t>
            </w:r>
          </w:p>
          <w:p>
            <w:pPr>
              <w:spacing w:before="156" w:beforeLines="50" w:after="156" w:afterLines="50"/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雪佛龙菲利普斯化工有限责任公司</w:t>
            </w:r>
            <w:r>
              <w:rPr>
                <w:rFonts w:hint="eastAsia" w:ascii="宋体" w:hAnsi="宋体"/>
                <w:color w:val="000000"/>
                <w:sz w:val="24"/>
                <w:szCs w:val="24"/>
              </w:rPr>
              <w:t>的最终控制人是菲利普斯66和雪佛龙股份有限公司。菲利普斯66和雪佛龙股份有限公司均为跨国能源公司，主要在世界各地从事石化产品的经营。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550" w:type="dxa"/>
            <w:gridSpan w:val="2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cs="Arial"/>
                <w:sz w:val="24"/>
                <w:szCs w:val="24"/>
                <w:lang w:val="en-GB"/>
              </w:rPr>
              <w:sym w:font="Wingdings" w:char="F0FE"/>
            </w:r>
            <w:r>
              <w:rPr>
                <w:rFonts w:ascii="宋体" w:hAnsi="宋体"/>
                <w:sz w:val="24"/>
                <w:szCs w:val="24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550" w:type="dxa"/>
            <w:gridSpan w:val="2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cs="Arial"/>
                <w:sz w:val="24"/>
                <w:szCs w:val="24"/>
                <w:lang w:val="en-GB"/>
              </w:rPr>
              <w:sym w:font="Wingdings" w:char="F0FE"/>
            </w:r>
            <w:r>
              <w:rPr>
                <w:rFonts w:ascii="宋体" w:hAnsi="宋体" w:cs="Arial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宋体" w:hAnsi="宋体"/>
                <w:sz w:val="24"/>
                <w:szCs w:val="24"/>
              </w:rPr>
              <w:t>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550" w:type="dxa"/>
            <w:gridSpan w:val="2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cs="Arial"/>
                <w:sz w:val="24"/>
                <w:szCs w:val="24"/>
                <w:lang w:val="en-GB"/>
              </w:rPr>
              <w:sym w:font="Wingdings" w:char="F0A8"/>
            </w:r>
            <w:r>
              <w:rPr>
                <w:rFonts w:ascii="宋体" w:hAnsi="宋体"/>
                <w:sz w:val="24"/>
                <w:szCs w:val="24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550" w:type="dxa"/>
            <w:gridSpan w:val="2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cs="Arial"/>
                <w:sz w:val="24"/>
                <w:szCs w:val="24"/>
                <w:lang w:val="en-GB"/>
              </w:rPr>
              <w:sym w:font="Wingdings" w:char="F0A8"/>
            </w:r>
            <w:r>
              <w:rPr>
                <w:rFonts w:ascii="宋体" w:hAnsi="宋体"/>
                <w:sz w:val="24"/>
                <w:szCs w:val="24"/>
              </w:rPr>
              <w:t>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550" w:type="dxa"/>
            <w:gridSpan w:val="2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cs="Arial"/>
                <w:sz w:val="24"/>
                <w:szCs w:val="24"/>
                <w:lang w:val="en-GB"/>
              </w:rPr>
              <w:sym w:font="Wingdings" w:char="F0A8"/>
            </w:r>
            <w:r>
              <w:rPr>
                <w:rFonts w:ascii="宋体" w:hAnsi="宋体"/>
                <w:sz w:val="24"/>
                <w:szCs w:val="24"/>
              </w:rPr>
              <w:t>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550" w:type="dxa"/>
            <w:gridSpan w:val="2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cs="Arial"/>
                <w:sz w:val="24"/>
                <w:szCs w:val="24"/>
                <w:lang w:val="en-GB"/>
              </w:rPr>
              <w:sym w:font="Wingdings" w:char="F0A8"/>
            </w:r>
            <w:r>
              <w:rPr>
                <w:rFonts w:ascii="宋体" w:hAnsi="宋体"/>
                <w:sz w:val="24"/>
                <w:szCs w:val="24"/>
              </w:rPr>
              <w:t>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备注</w:t>
            </w:r>
          </w:p>
        </w:tc>
        <w:tc>
          <w:tcPr>
            <w:tcW w:w="6550" w:type="dxa"/>
            <w:gridSpan w:val="2"/>
          </w:tcPr>
          <w:p>
            <w:pPr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横向重叠：</w:t>
            </w:r>
          </w:p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2021年全球高密度聚乙烯市场：</w:t>
            </w:r>
          </w:p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雪佛龙菲利普斯化工有限责任公司：全球：[5-10]%；中国境内：[</w:t>
            </w:r>
            <w:r>
              <w:rPr>
                <w:rFonts w:ascii="宋体" w:hAnsi="宋体"/>
                <w:sz w:val="24"/>
                <w:szCs w:val="24"/>
              </w:rPr>
              <w:t>0-5]%</w:t>
            </w:r>
          </w:p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RLPP合营企业：全球：[0-5]%；中国境内：[</w:t>
            </w:r>
            <w:r>
              <w:rPr>
                <w:rFonts w:ascii="宋体" w:hAnsi="宋体"/>
                <w:sz w:val="24"/>
                <w:szCs w:val="24"/>
              </w:rPr>
              <w:t>0-5]%</w:t>
            </w:r>
          </w:p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交易方合计：全球：[10-15]%；中国境内：[</w:t>
            </w:r>
            <w:r>
              <w:rPr>
                <w:rFonts w:ascii="宋体" w:hAnsi="宋体"/>
                <w:sz w:val="24"/>
                <w:szCs w:val="24"/>
              </w:rPr>
              <w:t>0-5]%</w:t>
            </w:r>
          </w:p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2021年全球</w:t>
            </w:r>
            <w:r>
              <w:rPr>
                <w:rFonts w:hint="eastAsia" w:ascii="宋体" w:hAnsi="宋体"/>
                <w:sz w:val="24"/>
                <w:szCs w:val="24"/>
                <w:lang w:eastAsia="zh-CN"/>
              </w:rPr>
              <w:t>乙烷</w:t>
            </w:r>
            <w:r>
              <w:rPr>
                <w:rFonts w:hint="eastAsia" w:ascii="宋体" w:hAnsi="宋体"/>
                <w:sz w:val="24"/>
                <w:szCs w:val="24"/>
              </w:rPr>
              <w:t>市场：</w:t>
            </w:r>
          </w:p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雪佛龙菲利普斯化工有限责任公司：全球：[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宋体" w:hAnsi="宋体"/>
                <w:sz w:val="24"/>
                <w:szCs w:val="24"/>
              </w:rPr>
              <w:t>-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宋体" w:hAnsi="宋体"/>
                <w:sz w:val="24"/>
                <w:szCs w:val="24"/>
              </w:rPr>
              <w:t>]%；中国境内：[</w:t>
            </w:r>
            <w:r>
              <w:rPr>
                <w:rFonts w:ascii="宋体" w:hAnsi="宋体"/>
                <w:sz w:val="24"/>
                <w:szCs w:val="24"/>
              </w:rPr>
              <w:t>0-5]%</w:t>
            </w:r>
          </w:p>
          <w:p>
            <w:pPr>
              <w:jc w:val="left"/>
              <w:rPr>
                <w:rFonts w:ascii="宋体" w:hAnsi="宋体"/>
                <w:sz w:val="24"/>
                <w:szCs w:val="24"/>
                <w:lang w:val="en-GB"/>
              </w:rPr>
            </w:pPr>
            <w:r>
              <w:rPr>
                <w:rFonts w:hint="eastAsia" w:ascii="宋体" w:hAnsi="宋体"/>
                <w:sz w:val="24"/>
                <w:szCs w:val="24"/>
                <w:lang w:val="en-GB"/>
              </w:rPr>
              <w:t>卡塔尔能源油气第二公司</w:t>
            </w:r>
            <w:r>
              <w:rPr>
                <w:rFonts w:ascii="宋体" w:hAnsi="宋体"/>
                <w:sz w:val="24"/>
                <w:szCs w:val="24"/>
              </w:rPr>
              <w:t>：</w:t>
            </w:r>
            <w:r>
              <w:rPr>
                <w:rFonts w:hint="eastAsia" w:ascii="宋体" w:hAnsi="宋体"/>
                <w:sz w:val="24"/>
                <w:szCs w:val="24"/>
              </w:rPr>
              <w:t>全球：</w:t>
            </w:r>
            <w:r>
              <w:rPr>
                <w:rFonts w:ascii="宋体" w:hAnsi="宋体"/>
                <w:sz w:val="24"/>
                <w:szCs w:val="24"/>
              </w:rPr>
              <w:t>[5</w:t>
            </w:r>
            <w:r>
              <w:rPr>
                <w:rFonts w:hint="eastAsia" w:ascii="宋体" w:hAnsi="宋体"/>
                <w:sz w:val="24"/>
                <w:szCs w:val="24"/>
              </w:rPr>
              <w:t>-</w:t>
            </w:r>
            <w:r>
              <w:rPr>
                <w:rFonts w:ascii="宋体" w:hAnsi="宋体"/>
                <w:sz w:val="24"/>
                <w:szCs w:val="24"/>
              </w:rPr>
              <w:t>10]%</w:t>
            </w:r>
            <w:r>
              <w:rPr>
                <w:rFonts w:hint="eastAsia" w:ascii="宋体" w:hAnsi="宋体"/>
                <w:sz w:val="24"/>
                <w:szCs w:val="24"/>
              </w:rPr>
              <w:t>；中国境内：</w:t>
            </w:r>
            <w:r>
              <w:rPr>
                <w:rFonts w:ascii="宋体" w:hAnsi="宋体"/>
                <w:sz w:val="24"/>
                <w:szCs w:val="24"/>
              </w:rPr>
              <w:t>[0-5]%</w:t>
            </w:r>
          </w:p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交易方合计：全球：[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宋体" w:hAnsi="宋体"/>
                <w:sz w:val="24"/>
                <w:szCs w:val="24"/>
              </w:rPr>
              <w:t>-1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0</w:t>
            </w:r>
            <w:bookmarkStart w:id="0" w:name="_GoBack"/>
            <w:bookmarkEnd w:id="0"/>
            <w:r>
              <w:rPr>
                <w:rFonts w:hint="eastAsia" w:ascii="宋体" w:hAnsi="宋体"/>
                <w:sz w:val="24"/>
                <w:szCs w:val="24"/>
              </w:rPr>
              <w:t>]%；中国境内：[</w:t>
            </w:r>
            <w:r>
              <w:rPr>
                <w:rFonts w:ascii="宋体" w:hAnsi="宋体"/>
                <w:sz w:val="24"/>
                <w:szCs w:val="24"/>
              </w:rPr>
              <w:t>0-5]%</w:t>
            </w:r>
          </w:p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纵向关联：</w:t>
            </w:r>
          </w:p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101"/>
              <w:gridCol w:w="1942"/>
              <w:gridCol w:w="228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101" w:type="dxa"/>
                  <w:shd w:val="clear" w:color="auto" w:fill="D0CECE" w:themeFill="background2" w:themeFillShade="E6"/>
                  <w:vAlign w:val="center"/>
                </w:tcPr>
                <w:p>
                  <w:pPr>
                    <w:jc w:val="center"/>
                    <w:rPr>
                      <w:rFonts w:ascii="宋体" w:hAnsi="宋体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 w:val="24"/>
                      <w:szCs w:val="24"/>
                    </w:rPr>
                    <w:t>相关商品市场</w:t>
                  </w:r>
                </w:p>
              </w:tc>
              <w:tc>
                <w:tcPr>
                  <w:tcW w:w="1942" w:type="dxa"/>
                  <w:shd w:val="clear" w:color="auto" w:fill="D0CECE" w:themeFill="background2" w:themeFillShade="E6"/>
                  <w:vAlign w:val="center"/>
                </w:tcPr>
                <w:p>
                  <w:pPr>
                    <w:jc w:val="center"/>
                    <w:rPr>
                      <w:rFonts w:ascii="宋体" w:hAnsi="宋体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 w:val="24"/>
                      <w:szCs w:val="24"/>
                    </w:rPr>
                    <w:t>相关的地域市场</w:t>
                  </w:r>
                </w:p>
              </w:tc>
              <w:tc>
                <w:tcPr>
                  <w:tcW w:w="2281" w:type="dxa"/>
                  <w:shd w:val="clear" w:color="auto" w:fill="D0CECE" w:themeFill="background2" w:themeFillShade="E6"/>
                  <w:vAlign w:val="center"/>
                </w:tcPr>
                <w:p>
                  <w:pPr>
                    <w:jc w:val="center"/>
                    <w:rPr>
                      <w:rFonts w:ascii="宋体" w:hAnsi="宋体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 w:val="24"/>
                      <w:szCs w:val="24"/>
                    </w:rPr>
                    <w:t>2</w:t>
                  </w:r>
                  <w:r>
                    <w:rPr>
                      <w:rFonts w:ascii="宋体" w:hAnsi="宋体"/>
                      <w:b/>
                      <w:bCs/>
                      <w:sz w:val="24"/>
                      <w:szCs w:val="24"/>
                    </w:rPr>
                    <w:t>021</w:t>
                  </w:r>
                  <w:r>
                    <w:rPr>
                      <w:rFonts w:hint="eastAsia" w:ascii="宋体" w:hAnsi="宋体"/>
                      <w:b/>
                      <w:bCs/>
                      <w:sz w:val="24"/>
                      <w:szCs w:val="24"/>
                    </w:rPr>
                    <w:t>年市场份额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101" w:type="dxa"/>
                  <w:vAlign w:val="center"/>
                </w:tcPr>
                <w:p>
                  <w:pPr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</w:rPr>
                    <w:t>上游：乙烷</w:t>
                  </w:r>
                </w:p>
                <w:p>
                  <w:pPr>
                    <w:rPr>
                      <w:rFonts w:ascii="宋体" w:hAnsi="宋体"/>
                      <w:sz w:val="24"/>
                      <w:szCs w:val="24"/>
                      <w:lang w:val="en-GB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</w:rPr>
                    <w:t>下游：乙烯</w:t>
                  </w:r>
                </w:p>
              </w:tc>
              <w:tc>
                <w:tcPr>
                  <w:tcW w:w="1942" w:type="dxa"/>
                  <w:vAlign w:val="center"/>
                </w:tcPr>
                <w:p>
                  <w:pPr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</w:rPr>
                    <w:t>上游：全球</w:t>
                  </w:r>
                </w:p>
                <w:p>
                  <w:pPr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</w:rPr>
                    <w:t>下游：国别（卡塔尔境内）</w:t>
                  </w:r>
                </w:p>
              </w:tc>
              <w:tc>
                <w:tcPr>
                  <w:tcW w:w="2281" w:type="dxa"/>
                  <w:vAlign w:val="center"/>
                </w:tcPr>
                <w:p>
                  <w:pPr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</w:rPr>
                    <w:t>上游：全球乙烷市场</w:t>
                  </w:r>
                </w:p>
                <w:p>
                  <w:pPr>
                    <w:rPr>
                      <w:rFonts w:hint="eastAsia" w:ascii="宋体" w:hAnsi="宋体"/>
                      <w:i/>
                      <w:iCs/>
                      <w:sz w:val="24"/>
                      <w:szCs w:val="24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</w:rPr>
                    <w:t>雪佛龙菲利普斯化工有限责任公司：全球：</w:t>
                  </w:r>
                  <w:r>
                    <w:rPr>
                      <w:rFonts w:ascii="宋体" w:hAnsi="宋体"/>
                      <w:sz w:val="24"/>
                      <w:szCs w:val="24"/>
                    </w:rPr>
                    <w:t>[0-5]%</w:t>
                  </w:r>
                  <w:r>
                    <w:rPr>
                      <w:rFonts w:hint="eastAsia" w:ascii="宋体" w:hAnsi="宋体"/>
                      <w:sz w:val="24"/>
                      <w:szCs w:val="24"/>
                    </w:rPr>
                    <w:t>；中国境内：</w:t>
                  </w:r>
                  <w:r>
                    <w:rPr>
                      <w:rFonts w:ascii="宋体" w:hAnsi="宋体"/>
                      <w:sz w:val="24"/>
                      <w:szCs w:val="24"/>
                    </w:rPr>
                    <w:t>[0-5]%</w:t>
                  </w:r>
                </w:p>
                <w:p>
                  <w:pPr>
                    <w:jc w:val="left"/>
                    <w:rPr>
                      <w:rFonts w:ascii="宋体" w:hAnsi="宋体"/>
                      <w:sz w:val="24"/>
                      <w:szCs w:val="24"/>
                      <w:lang w:val="en-GB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  <w:lang w:val="en-GB"/>
                    </w:rPr>
                    <w:t>卡塔尔能源油气第二公司</w:t>
                  </w:r>
                  <w:r>
                    <w:rPr>
                      <w:rFonts w:ascii="宋体" w:hAnsi="宋体"/>
                      <w:sz w:val="24"/>
                      <w:szCs w:val="24"/>
                    </w:rPr>
                    <w:t>：</w:t>
                  </w:r>
                  <w:r>
                    <w:rPr>
                      <w:rFonts w:hint="eastAsia" w:ascii="宋体" w:hAnsi="宋体"/>
                      <w:sz w:val="24"/>
                      <w:szCs w:val="24"/>
                    </w:rPr>
                    <w:t>全球：</w:t>
                  </w:r>
                  <w:r>
                    <w:rPr>
                      <w:rFonts w:ascii="宋体" w:hAnsi="宋体"/>
                      <w:sz w:val="24"/>
                      <w:szCs w:val="24"/>
                    </w:rPr>
                    <w:t>[5</w:t>
                  </w:r>
                  <w:r>
                    <w:rPr>
                      <w:rFonts w:hint="eastAsia" w:ascii="宋体" w:hAnsi="宋体"/>
                      <w:sz w:val="24"/>
                      <w:szCs w:val="24"/>
                    </w:rPr>
                    <w:t>-</w:t>
                  </w:r>
                  <w:r>
                    <w:rPr>
                      <w:rFonts w:ascii="宋体" w:hAnsi="宋体"/>
                      <w:sz w:val="24"/>
                      <w:szCs w:val="24"/>
                    </w:rPr>
                    <w:t>10]%</w:t>
                  </w:r>
                  <w:r>
                    <w:rPr>
                      <w:rFonts w:hint="eastAsia" w:ascii="宋体" w:hAnsi="宋体"/>
                      <w:sz w:val="24"/>
                      <w:szCs w:val="24"/>
                    </w:rPr>
                    <w:t>；中国境内：</w:t>
                  </w:r>
                  <w:r>
                    <w:rPr>
                      <w:rFonts w:ascii="宋体" w:hAnsi="宋体"/>
                      <w:sz w:val="24"/>
                      <w:szCs w:val="24"/>
                    </w:rPr>
                    <w:t>[0-5]%</w:t>
                  </w:r>
                </w:p>
                <w:p>
                  <w:pPr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</w:rPr>
                    <w:t>下游：卡塔尔境内乙烯市场</w:t>
                  </w:r>
                </w:p>
                <w:p>
                  <w:pPr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ascii="宋体" w:hAnsi="宋体"/>
                      <w:color w:val="000000"/>
                      <w:sz w:val="24"/>
                      <w:szCs w:val="24"/>
                      <w:lang w:val="en-GB"/>
                    </w:rPr>
                    <w:t>RLPP</w:t>
                  </w:r>
                  <w:r>
                    <w:rPr>
                      <w:rFonts w:hint="eastAsia" w:ascii="宋体" w:hAnsi="宋体"/>
                      <w:color w:val="000000"/>
                      <w:sz w:val="24"/>
                      <w:szCs w:val="24"/>
                      <w:lang w:val="en-GB"/>
                    </w:rPr>
                    <w:t>合营企业</w:t>
                  </w:r>
                  <w:r>
                    <w:rPr>
                      <w:rFonts w:ascii="宋体" w:hAnsi="宋体"/>
                      <w:sz w:val="24"/>
                      <w:szCs w:val="24"/>
                    </w:rPr>
                    <w:t>：</w:t>
                  </w:r>
                  <w:r>
                    <w:rPr>
                      <w:rFonts w:hint="eastAsia" w:ascii="宋体" w:hAnsi="宋体"/>
                      <w:sz w:val="24"/>
                      <w:szCs w:val="24"/>
                    </w:rPr>
                    <w:t>不适用</w:t>
                  </w:r>
                </w:p>
              </w:tc>
            </w:tr>
          </w:tbl>
          <w:p>
            <w:pPr>
              <w:spacing w:before="156" w:beforeLines="50" w:after="156" w:afterLines="50"/>
              <w:rPr>
                <w:rFonts w:ascii="宋体" w:hAnsi="宋体"/>
                <w:sz w:val="24"/>
                <w:szCs w:val="24"/>
              </w:rPr>
            </w:pPr>
          </w:p>
        </w:tc>
      </w:tr>
    </w:tbl>
    <w:p>
      <w:pPr>
        <w:snapToGrid w:val="0"/>
        <w:spacing w:line="240" w:lineRule="exact"/>
        <w:jc w:val="left"/>
        <w:rPr>
          <w:rFonts w:ascii="Times New Roman" w:hAnsi="Times New Roman"/>
          <w:sz w:val="28"/>
          <w:szCs w:val="28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PMingLiU">
    <w:altName w:val="Droid Sans Fallback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Liberation Serif">
    <w:panose1 w:val="02020603050405020304"/>
    <w:charset w:val="00"/>
    <w:family w:val="auto"/>
    <w:pitch w:val="default"/>
    <w:sig w:usb0="A00002AF" w:usb1="500078FB" w:usb2="00000000" w:usb3="00000000" w:csb0="6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89376438"/>
      <w:docPartObj>
        <w:docPartGallery w:val="autotext"/>
      </w:docPartObj>
    </w:sdtPr>
    <w:sdtEndPr>
      <w:rPr>
        <w:rFonts w:ascii="Times New Roman" w:hAnsi="Times New Roman"/>
      </w:rPr>
    </w:sdtEndPr>
    <w:sdtContent>
      <w:sdt>
        <w:sdtPr>
          <w:id w:val="1728636285"/>
          <w:docPartObj>
            <w:docPartGallery w:val="autotext"/>
          </w:docPartObj>
        </w:sdtPr>
        <w:sdtEndPr>
          <w:rPr>
            <w:rFonts w:ascii="Times New Roman" w:hAnsi="Times New Roman"/>
          </w:rPr>
        </w:sdtEndPr>
        <w:sdtContent>
          <w:p>
            <w:pPr>
              <w:pStyle w:val="5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zh-C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bCs/>
              </w:rPr>
              <w:instrText xml:space="preserve">PAGE</w:instrTex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</w:rPr>
              <w:t>2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/>
                <w:lang w:val="zh-CN"/>
              </w:rPr>
              <w:t xml:space="preserve"> /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bCs/>
              </w:rPr>
              <w:instrText xml:space="preserve">NUMPAGES</w:instrTex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</w:rPr>
              <w:t>2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5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6A4903"/>
    <w:multiLevelType w:val="multilevel"/>
    <w:tmpl w:val="1C6A490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051DE"/>
    <w:rsid w:val="00005B69"/>
    <w:rsid w:val="00006080"/>
    <w:rsid w:val="0000684D"/>
    <w:rsid w:val="0002587C"/>
    <w:rsid w:val="00036A9D"/>
    <w:rsid w:val="00037213"/>
    <w:rsid w:val="00045507"/>
    <w:rsid w:val="0005594E"/>
    <w:rsid w:val="00057046"/>
    <w:rsid w:val="0007651B"/>
    <w:rsid w:val="00082738"/>
    <w:rsid w:val="00087D30"/>
    <w:rsid w:val="000917F0"/>
    <w:rsid w:val="00094095"/>
    <w:rsid w:val="000A3CA7"/>
    <w:rsid w:val="000B0EC8"/>
    <w:rsid w:val="000C5BC7"/>
    <w:rsid w:val="000E6100"/>
    <w:rsid w:val="000E7FC9"/>
    <w:rsid w:val="00100B60"/>
    <w:rsid w:val="00113543"/>
    <w:rsid w:val="00117B9E"/>
    <w:rsid w:val="00136AA7"/>
    <w:rsid w:val="00137BCF"/>
    <w:rsid w:val="001417D8"/>
    <w:rsid w:val="0015166A"/>
    <w:rsid w:val="00165964"/>
    <w:rsid w:val="001860C8"/>
    <w:rsid w:val="001913F9"/>
    <w:rsid w:val="00192C2C"/>
    <w:rsid w:val="00193065"/>
    <w:rsid w:val="001A6CB8"/>
    <w:rsid w:val="001C1B23"/>
    <w:rsid w:val="001E393B"/>
    <w:rsid w:val="0020313A"/>
    <w:rsid w:val="002128F6"/>
    <w:rsid w:val="002158DC"/>
    <w:rsid w:val="002219C7"/>
    <w:rsid w:val="00233AB0"/>
    <w:rsid w:val="00245776"/>
    <w:rsid w:val="00254F82"/>
    <w:rsid w:val="00262658"/>
    <w:rsid w:val="00266A6B"/>
    <w:rsid w:val="0029252D"/>
    <w:rsid w:val="002C1804"/>
    <w:rsid w:val="002E2C9F"/>
    <w:rsid w:val="002E402D"/>
    <w:rsid w:val="002E720A"/>
    <w:rsid w:val="002F2D60"/>
    <w:rsid w:val="00302FE1"/>
    <w:rsid w:val="003048E8"/>
    <w:rsid w:val="00305FFE"/>
    <w:rsid w:val="003061D7"/>
    <w:rsid w:val="00307976"/>
    <w:rsid w:val="0031063E"/>
    <w:rsid w:val="0031093F"/>
    <w:rsid w:val="003145BC"/>
    <w:rsid w:val="00316B15"/>
    <w:rsid w:val="00321762"/>
    <w:rsid w:val="0032355A"/>
    <w:rsid w:val="003358F3"/>
    <w:rsid w:val="00353B55"/>
    <w:rsid w:val="00354F14"/>
    <w:rsid w:val="00366B70"/>
    <w:rsid w:val="003975EE"/>
    <w:rsid w:val="003A386D"/>
    <w:rsid w:val="003A420A"/>
    <w:rsid w:val="003C1802"/>
    <w:rsid w:val="003C306B"/>
    <w:rsid w:val="003C75D7"/>
    <w:rsid w:val="003D3128"/>
    <w:rsid w:val="003D60DB"/>
    <w:rsid w:val="003F170C"/>
    <w:rsid w:val="004030E1"/>
    <w:rsid w:val="00410280"/>
    <w:rsid w:val="004207F2"/>
    <w:rsid w:val="00427074"/>
    <w:rsid w:val="004306A0"/>
    <w:rsid w:val="00445F6B"/>
    <w:rsid w:val="00462174"/>
    <w:rsid w:val="00474EBE"/>
    <w:rsid w:val="00497E7B"/>
    <w:rsid w:val="004A608A"/>
    <w:rsid w:val="004B00C8"/>
    <w:rsid w:val="004B3A56"/>
    <w:rsid w:val="004C2586"/>
    <w:rsid w:val="004F382D"/>
    <w:rsid w:val="00507D9C"/>
    <w:rsid w:val="00521ED5"/>
    <w:rsid w:val="00525467"/>
    <w:rsid w:val="00527F6A"/>
    <w:rsid w:val="00557102"/>
    <w:rsid w:val="00563A4C"/>
    <w:rsid w:val="00566CC7"/>
    <w:rsid w:val="00570014"/>
    <w:rsid w:val="00574B4E"/>
    <w:rsid w:val="00574F2D"/>
    <w:rsid w:val="0058057F"/>
    <w:rsid w:val="005830FE"/>
    <w:rsid w:val="005B533D"/>
    <w:rsid w:val="005C3D32"/>
    <w:rsid w:val="005C449E"/>
    <w:rsid w:val="005D087D"/>
    <w:rsid w:val="005D1309"/>
    <w:rsid w:val="005D1B7F"/>
    <w:rsid w:val="005E5B91"/>
    <w:rsid w:val="005F167B"/>
    <w:rsid w:val="005F5FFA"/>
    <w:rsid w:val="006113D3"/>
    <w:rsid w:val="006157E5"/>
    <w:rsid w:val="00616F24"/>
    <w:rsid w:val="00621AFF"/>
    <w:rsid w:val="006300C0"/>
    <w:rsid w:val="006408AB"/>
    <w:rsid w:val="006447F2"/>
    <w:rsid w:val="00644C5B"/>
    <w:rsid w:val="00645D6F"/>
    <w:rsid w:val="006670A5"/>
    <w:rsid w:val="00672BDB"/>
    <w:rsid w:val="0067330C"/>
    <w:rsid w:val="00675286"/>
    <w:rsid w:val="00692DA5"/>
    <w:rsid w:val="006A4D58"/>
    <w:rsid w:val="006A4F76"/>
    <w:rsid w:val="006A50B0"/>
    <w:rsid w:val="006A5728"/>
    <w:rsid w:val="006B49BF"/>
    <w:rsid w:val="006C0FEE"/>
    <w:rsid w:val="006C6C5D"/>
    <w:rsid w:val="006D0734"/>
    <w:rsid w:val="006D6449"/>
    <w:rsid w:val="006E4C68"/>
    <w:rsid w:val="00720227"/>
    <w:rsid w:val="00720679"/>
    <w:rsid w:val="00734239"/>
    <w:rsid w:val="007364E2"/>
    <w:rsid w:val="007453EC"/>
    <w:rsid w:val="0074694B"/>
    <w:rsid w:val="007543A3"/>
    <w:rsid w:val="00760B27"/>
    <w:rsid w:val="00761154"/>
    <w:rsid w:val="00762CDE"/>
    <w:rsid w:val="00765468"/>
    <w:rsid w:val="00785C5F"/>
    <w:rsid w:val="007A0249"/>
    <w:rsid w:val="007A154C"/>
    <w:rsid w:val="007C000E"/>
    <w:rsid w:val="007C7803"/>
    <w:rsid w:val="008010AD"/>
    <w:rsid w:val="0080386C"/>
    <w:rsid w:val="008110BD"/>
    <w:rsid w:val="00813550"/>
    <w:rsid w:val="008354FF"/>
    <w:rsid w:val="0084303C"/>
    <w:rsid w:val="0084664F"/>
    <w:rsid w:val="0084728A"/>
    <w:rsid w:val="008736FC"/>
    <w:rsid w:val="008750C5"/>
    <w:rsid w:val="008764AD"/>
    <w:rsid w:val="00877D76"/>
    <w:rsid w:val="00885D99"/>
    <w:rsid w:val="008926BD"/>
    <w:rsid w:val="0089745C"/>
    <w:rsid w:val="008A436E"/>
    <w:rsid w:val="008A7ED7"/>
    <w:rsid w:val="008C10CC"/>
    <w:rsid w:val="008E44E6"/>
    <w:rsid w:val="008E5AC1"/>
    <w:rsid w:val="008F18B2"/>
    <w:rsid w:val="008F6050"/>
    <w:rsid w:val="008F634B"/>
    <w:rsid w:val="00900557"/>
    <w:rsid w:val="009134D0"/>
    <w:rsid w:val="009172C2"/>
    <w:rsid w:val="0093344B"/>
    <w:rsid w:val="0095347A"/>
    <w:rsid w:val="00964D91"/>
    <w:rsid w:val="009733B4"/>
    <w:rsid w:val="0097529A"/>
    <w:rsid w:val="00985230"/>
    <w:rsid w:val="009912F8"/>
    <w:rsid w:val="00997099"/>
    <w:rsid w:val="009A7BF2"/>
    <w:rsid w:val="009B164D"/>
    <w:rsid w:val="009B22D1"/>
    <w:rsid w:val="009B5555"/>
    <w:rsid w:val="009C1D9D"/>
    <w:rsid w:val="009C5ACB"/>
    <w:rsid w:val="009E0C70"/>
    <w:rsid w:val="009E544B"/>
    <w:rsid w:val="009F7FE9"/>
    <w:rsid w:val="00A042B2"/>
    <w:rsid w:val="00A43A3E"/>
    <w:rsid w:val="00A67610"/>
    <w:rsid w:val="00A73519"/>
    <w:rsid w:val="00A73EC0"/>
    <w:rsid w:val="00A77BD3"/>
    <w:rsid w:val="00A8557B"/>
    <w:rsid w:val="00AA1A78"/>
    <w:rsid w:val="00AA547D"/>
    <w:rsid w:val="00AB1BC4"/>
    <w:rsid w:val="00AB563D"/>
    <w:rsid w:val="00AD646B"/>
    <w:rsid w:val="00AD735B"/>
    <w:rsid w:val="00AE4C10"/>
    <w:rsid w:val="00AF0BB8"/>
    <w:rsid w:val="00B01090"/>
    <w:rsid w:val="00B327C3"/>
    <w:rsid w:val="00B34D88"/>
    <w:rsid w:val="00B357DC"/>
    <w:rsid w:val="00B44DB6"/>
    <w:rsid w:val="00B52953"/>
    <w:rsid w:val="00B60E5E"/>
    <w:rsid w:val="00B8768F"/>
    <w:rsid w:val="00BA0750"/>
    <w:rsid w:val="00BA16D2"/>
    <w:rsid w:val="00BA46A2"/>
    <w:rsid w:val="00BA4F7F"/>
    <w:rsid w:val="00BA5FD5"/>
    <w:rsid w:val="00BA6F07"/>
    <w:rsid w:val="00BA7437"/>
    <w:rsid w:val="00BB2377"/>
    <w:rsid w:val="00BB3798"/>
    <w:rsid w:val="00BB4C43"/>
    <w:rsid w:val="00BC44C2"/>
    <w:rsid w:val="00BC6BEF"/>
    <w:rsid w:val="00BC768A"/>
    <w:rsid w:val="00BD3D34"/>
    <w:rsid w:val="00BD6CBA"/>
    <w:rsid w:val="00BD6EBE"/>
    <w:rsid w:val="00BF0D84"/>
    <w:rsid w:val="00BF6C60"/>
    <w:rsid w:val="00BF7F17"/>
    <w:rsid w:val="00C068D5"/>
    <w:rsid w:val="00C20325"/>
    <w:rsid w:val="00C30030"/>
    <w:rsid w:val="00C318CE"/>
    <w:rsid w:val="00C52346"/>
    <w:rsid w:val="00C75B25"/>
    <w:rsid w:val="00C76979"/>
    <w:rsid w:val="00C76F0E"/>
    <w:rsid w:val="00C8184D"/>
    <w:rsid w:val="00C84314"/>
    <w:rsid w:val="00C9068E"/>
    <w:rsid w:val="00CB7216"/>
    <w:rsid w:val="00CD148B"/>
    <w:rsid w:val="00CD25EE"/>
    <w:rsid w:val="00CD2BEC"/>
    <w:rsid w:val="00D001A9"/>
    <w:rsid w:val="00D053F3"/>
    <w:rsid w:val="00D11610"/>
    <w:rsid w:val="00D158AF"/>
    <w:rsid w:val="00D21777"/>
    <w:rsid w:val="00D2453A"/>
    <w:rsid w:val="00D370A7"/>
    <w:rsid w:val="00D419DE"/>
    <w:rsid w:val="00D451A4"/>
    <w:rsid w:val="00D515E7"/>
    <w:rsid w:val="00D63436"/>
    <w:rsid w:val="00D73A38"/>
    <w:rsid w:val="00D87D27"/>
    <w:rsid w:val="00D9230D"/>
    <w:rsid w:val="00DA3B19"/>
    <w:rsid w:val="00DB1D0A"/>
    <w:rsid w:val="00DC70AB"/>
    <w:rsid w:val="00DD1C7B"/>
    <w:rsid w:val="00DE39D7"/>
    <w:rsid w:val="00DE7DBD"/>
    <w:rsid w:val="00DF4BCE"/>
    <w:rsid w:val="00E01A24"/>
    <w:rsid w:val="00E06439"/>
    <w:rsid w:val="00E11C0D"/>
    <w:rsid w:val="00E1347C"/>
    <w:rsid w:val="00E21F07"/>
    <w:rsid w:val="00E25016"/>
    <w:rsid w:val="00E32A0C"/>
    <w:rsid w:val="00E34BA1"/>
    <w:rsid w:val="00E54B29"/>
    <w:rsid w:val="00E659D6"/>
    <w:rsid w:val="00E85DDF"/>
    <w:rsid w:val="00E91187"/>
    <w:rsid w:val="00EB0EE6"/>
    <w:rsid w:val="00EB1A34"/>
    <w:rsid w:val="00EC669A"/>
    <w:rsid w:val="00ED21B1"/>
    <w:rsid w:val="00ED4254"/>
    <w:rsid w:val="00EE2784"/>
    <w:rsid w:val="00EE4AF0"/>
    <w:rsid w:val="00EF2FDA"/>
    <w:rsid w:val="00F15744"/>
    <w:rsid w:val="00F16269"/>
    <w:rsid w:val="00F234B2"/>
    <w:rsid w:val="00F26A0F"/>
    <w:rsid w:val="00F3620B"/>
    <w:rsid w:val="00F418F4"/>
    <w:rsid w:val="00F41E5F"/>
    <w:rsid w:val="00F42BAC"/>
    <w:rsid w:val="00F5086B"/>
    <w:rsid w:val="00F54709"/>
    <w:rsid w:val="00F87C1F"/>
    <w:rsid w:val="00FC13C8"/>
    <w:rsid w:val="00FD4A2C"/>
    <w:rsid w:val="00FE3C66"/>
    <w:rsid w:val="00FE4CAC"/>
    <w:rsid w:val="00FF2D6D"/>
    <w:rsid w:val="7FFF2A65"/>
    <w:rsid w:val="B966918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0" w:semiHidden="0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22"/>
    <w:semiHidden/>
    <w:unhideWhenUsed/>
    <w:qFormat/>
    <w:uiPriority w:val="99"/>
    <w:pPr>
      <w:jc w:val="left"/>
    </w:pPr>
  </w:style>
  <w:style w:type="paragraph" w:styleId="3">
    <w:name w:val="endnote text"/>
    <w:basedOn w:val="1"/>
    <w:link w:val="15"/>
    <w:semiHidden/>
    <w:unhideWhenUsed/>
    <w:qFormat/>
    <w:uiPriority w:val="99"/>
    <w:pPr>
      <w:snapToGrid w:val="0"/>
      <w:jc w:val="left"/>
    </w:pPr>
  </w:style>
  <w:style w:type="paragraph" w:styleId="4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footnote text"/>
    <w:basedOn w:val="1"/>
    <w:link w:val="21"/>
    <w:semiHidden/>
    <w:qFormat/>
    <w:uiPriority w:val="99"/>
    <w:pPr>
      <w:snapToGrid w:val="0"/>
      <w:jc w:val="left"/>
    </w:pPr>
    <w:rPr>
      <w:rFonts w:ascii="Times New Roman" w:hAnsi="Times New Roman" w:eastAsia="PMingLiU"/>
      <w:sz w:val="20"/>
      <w:szCs w:val="20"/>
      <w:lang w:eastAsia="zh-TW"/>
    </w:rPr>
  </w:style>
  <w:style w:type="paragraph" w:styleId="8">
    <w:name w:val="annotation subject"/>
    <w:basedOn w:val="2"/>
    <w:next w:val="2"/>
    <w:link w:val="23"/>
    <w:semiHidden/>
    <w:unhideWhenUsed/>
    <w:qFormat/>
    <w:uiPriority w:val="99"/>
    <w:rPr>
      <w:b/>
      <w:bCs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endnote reference"/>
    <w:semiHidden/>
    <w:unhideWhenUsed/>
    <w:qFormat/>
    <w:uiPriority w:val="99"/>
    <w:rPr>
      <w:vertAlign w:val="superscript"/>
    </w:rPr>
  </w:style>
  <w:style w:type="character" w:styleId="13">
    <w:name w:val="annotation reference"/>
    <w:basedOn w:val="11"/>
    <w:unhideWhenUsed/>
    <w:qFormat/>
    <w:uiPriority w:val="0"/>
    <w:rPr>
      <w:sz w:val="21"/>
      <w:szCs w:val="21"/>
    </w:rPr>
  </w:style>
  <w:style w:type="character" w:styleId="14">
    <w:name w:val="footnote reference"/>
    <w:semiHidden/>
    <w:unhideWhenUsed/>
    <w:qFormat/>
    <w:uiPriority w:val="99"/>
    <w:rPr>
      <w:vertAlign w:val="superscript"/>
    </w:rPr>
  </w:style>
  <w:style w:type="character" w:customStyle="1" w:styleId="15">
    <w:name w:val="尾注文本 字符"/>
    <w:basedOn w:val="11"/>
    <w:link w:val="3"/>
    <w:semiHidden/>
    <w:qFormat/>
    <w:uiPriority w:val="99"/>
  </w:style>
  <w:style w:type="character" w:customStyle="1" w:styleId="16">
    <w:name w:val="页眉 字符"/>
    <w:link w:val="6"/>
    <w:qFormat/>
    <w:uiPriority w:val="99"/>
    <w:rPr>
      <w:sz w:val="18"/>
      <w:szCs w:val="18"/>
    </w:rPr>
  </w:style>
  <w:style w:type="character" w:customStyle="1" w:styleId="17">
    <w:name w:val="页脚 字符"/>
    <w:link w:val="5"/>
    <w:qFormat/>
    <w:uiPriority w:val="99"/>
    <w:rPr>
      <w:sz w:val="18"/>
      <w:szCs w:val="18"/>
    </w:rPr>
  </w:style>
  <w:style w:type="character" w:customStyle="1" w:styleId="18">
    <w:name w:val="批注框文本 字符"/>
    <w:link w:val="4"/>
    <w:semiHidden/>
    <w:qFormat/>
    <w:uiPriority w:val="99"/>
    <w:rPr>
      <w:kern w:val="2"/>
      <w:sz w:val="18"/>
      <w:szCs w:val="18"/>
    </w:rPr>
  </w:style>
  <w:style w:type="paragraph" w:customStyle="1" w:styleId="19">
    <w:name w:val="列出段落1"/>
    <w:basedOn w:val="1"/>
    <w:qFormat/>
    <w:uiPriority w:val="34"/>
    <w:pPr>
      <w:ind w:firstLine="420" w:firstLineChars="200"/>
    </w:p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character" w:customStyle="1" w:styleId="21">
    <w:name w:val="脚注文本 字符"/>
    <w:link w:val="7"/>
    <w:semiHidden/>
    <w:qFormat/>
    <w:uiPriority w:val="99"/>
    <w:rPr>
      <w:rFonts w:ascii="Times New Roman" w:hAnsi="Times New Roman" w:eastAsia="PMingLiU"/>
      <w:kern w:val="2"/>
      <w:lang w:eastAsia="zh-TW"/>
    </w:rPr>
  </w:style>
  <w:style w:type="character" w:customStyle="1" w:styleId="22">
    <w:name w:val="批注文字 字符"/>
    <w:basedOn w:val="11"/>
    <w:link w:val="2"/>
    <w:semiHidden/>
    <w:qFormat/>
    <w:uiPriority w:val="99"/>
    <w:rPr>
      <w:kern w:val="2"/>
      <w:sz w:val="21"/>
      <w:szCs w:val="22"/>
    </w:rPr>
  </w:style>
  <w:style w:type="character" w:customStyle="1" w:styleId="23">
    <w:name w:val="批注主题 字符"/>
    <w:basedOn w:val="22"/>
    <w:link w:val="8"/>
    <w:semiHidden/>
    <w:qFormat/>
    <w:uiPriority w:val="99"/>
    <w:rPr>
      <w:b/>
      <w:bCs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新日鐵住金株式会社</Company>
  <Pages>2</Pages>
  <Words>178</Words>
  <Characters>1020</Characters>
  <Lines>8</Lines>
  <Paragraphs>2</Paragraphs>
  <TotalTime>1</TotalTime>
  <ScaleCrop>false</ScaleCrop>
  <LinksUpToDate>false</LinksUpToDate>
  <CharactersWithSpaces>1196</CharactersWithSpaces>
  <Application>WPS Office_11.8.2.11653_F1E327BC-269C-435d-A152-05C5408002CA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2021-10-29T01:00:00Z</dcterms:created>
  <dc:creator>dell</dc:creator>
  <cp:lastModifiedBy>greatwall</cp:lastModifiedBy>
  <cp:lastPrinted>2017-01-18T23:04:00Z</cp:lastPrinted>
  <dcterms:modified xsi:type="dcterms:W3CDTF">2022-10-08T16:12:44Z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2052-11.8.2.11653</vt:lpwstr>
  </property>
  <property fmtid="{D5CDD505-2E9C-101B-9397-08002B2CF9AE}" pid="3" name="ICV">
    <vt:lpwstr>64FCA467CF5768C941284163FD1EDE69</vt:lpwstr>
  </property>
</Properties>
</file>