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BE0A1" w14:textId="6C62DD23" w:rsidR="00C83EA3" w:rsidRPr="008A4EA6" w:rsidRDefault="00C83EA3" w:rsidP="0000167A">
      <w:pPr>
        <w:spacing w:after="156" w:line="440" w:lineRule="exact"/>
        <w:ind w:firstLine="720"/>
        <w:jc w:val="center"/>
        <w:rPr>
          <w:rFonts w:ascii="黑体" w:eastAsia="黑体"/>
          <w:sz w:val="36"/>
          <w:szCs w:val="36"/>
        </w:rPr>
      </w:pPr>
      <w:r w:rsidRPr="008A4EA6">
        <w:rPr>
          <w:rFonts w:ascii="黑体" w:eastAsia="黑体" w:hint="eastAsia"/>
          <w:sz w:val="36"/>
          <w:szCs w:val="36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83EA3" w:rsidRPr="0000167A" w14:paraId="336534BA" w14:textId="77777777" w:rsidTr="00CB00DF">
        <w:tc>
          <w:tcPr>
            <w:tcW w:w="1809" w:type="dxa"/>
            <w:shd w:val="clear" w:color="auto" w:fill="D9D9D9"/>
            <w:vAlign w:val="center"/>
          </w:tcPr>
          <w:p w14:paraId="72954CB0" w14:textId="77777777" w:rsidR="00C83EA3" w:rsidRPr="0000167A" w:rsidRDefault="00C83EA3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  <w:r w:rsidRPr="0000167A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64ABF1B9" w14:textId="57EC03E4" w:rsidR="00C83EA3" w:rsidRPr="0000167A" w:rsidRDefault="001D0A94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  <w:r w:rsidRPr="0000167A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建银国际（中国）有限公司与央视频融媒体发展有限公司新设合营企业案</w:t>
            </w:r>
            <w:r w:rsidR="0000167A" w:rsidRPr="0000167A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（“</w:t>
            </w:r>
            <w:r w:rsidR="0000167A" w:rsidRPr="0000167A">
              <w:rPr>
                <w:rFonts w:ascii="宋体" w:hAnsi="宋体" w:cs="宋体" w:hint="eastAsia"/>
                <w:b/>
                <w:bCs/>
                <w:color w:val="333333"/>
                <w:kern w:val="0"/>
                <w:szCs w:val="24"/>
                <w:bdr w:val="none" w:sz="0" w:space="0" w:color="auto" w:frame="1"/>
              </w:rPr>
              <w:t>本交易”</w:t>
            </w:r>
            <w:r w:rsidR="0000167A" w:rsidRPr="0000167A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）</w:t>
            </w:r>
          </w:p>
        </w:tc>
      </w:tr>
      <w:tr w:rsidR="00C83EA3" w:rsidRPr="0000167A" w14:paraId="12B07E57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4CA49A56" w14:textId="77777777" w:rsidR="00C83EA3" w:rsidRPr="0000167A" w:rsidRDefault="00C83EA3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  <w:r w:rsidRPr="0000167A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交易概况</w:t>
            </w:r>
          </w:p>
          <w:p w14:paraId="61C1BC1E" w14:textId="77777777" w:rsidR="00C83EA3" w:rsidRPr="0000167A" w:rsidRDefault="00C83EA3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  <w:r w:rsidRPr="0000167A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2FA669F3" w14:textId="29267228" w:rsidR="00C83EA3" w:rsidRDefault="0000167A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  <w:r w:rsidRPr="0000167A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建银国际（中国）有限公司</w:t>
            </w:r>
            <w:r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（“</w:t>
            </w:r>
            <w:r w:rsidRPr="0000167A">
              <w:rPr>
                <w:rFonts w:ascii="宋体" w:hAnsi="宋体" w:cs="宋体" w:hint="eastAsia"/>
                <w:b/>
                <w:bCs/>
                <w:color w:val="333333"/>
                <w:kern w:val="0"/>
                <w:szCs w:val="24"/>
                <w:bdr w:val="none" w:sz="0" w:space="0" w:color="auto" w:frame="1"/>
              </w:rPr>
              <w:t>建银国际</w:t>
            </w:r>
            <w:r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”）</w:t>
            </w:r>
            <w:r w:rsidRPr="0000167A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与央视频融媒体发展有限公司</w:t>
            </w:r>
            <w:r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（“</w:t>
            </w:r>
            <w:r w:rsidRPr="0000167A">
              <w:rPr>
                <w:rFonts w:ascii="宋体" w:hAnsi="宋体" w:cs="宋体" w:hint="eastAsia"/>
                <w:b/>
                <w:bCs/>
                <w:color w:val="333333"/>
                <w:kern w:val="0"/>
                <w:szCs w:val="24"/>
                <w:bdr w:val="none" w:sz="0" w:space="0" w:color="auto" w:frame="1"/>
              </w:rPr>
              <w:t>央视频</w:t>
            </w:r>
            <w:r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”）签署协议，共同出资设立一家合营企业，合营企业的主营</w:t>
            </w:r>
            <w:r w:rsidR="004C13E3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业务</w:t>
            </w:r>
            <w:r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是</w:t>
            </w:r>
            <w:r w:rsidR="00D04BBC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电商</w:t>
            </w:r>
            <w:r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代运营服务。</w:t>
            </w:r>
          </w:p>
          <w:p w14:paraId="605AB3CC" w14:textId="60E1C67B" w:rsidR="0000167A" w:rsidRPr="0000167A" w:rsidRDefault="0000167A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本交易后，建银国际和央视频分别持有合营企业5</w:t>
            </w:r>
            <w:r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  <w:t>0</w:t>
            </w:r>
            <w:r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%股权，双方共同控制合营企业。</w:t>
            </w:r>
          </w:p>
        </w:tc>
      </w:tr>
      <w:tr w:rsidR="00C83EA3" w:rsidRPr="0000167A" w14:paraId="10028DC0" w14:textId="77777777" w:rsidTr="009D06A9">
        <w:trPr>
          <w:trHeight w:val="934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17EB924B" w14:textId="77777777" w:rsidR="00C83EA3" w:rsidRPr="0000167A" w:rsidRDefault="00C83EA3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  <w:r w:rsidRPr="0000167A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参与集中的</w:t>
            </w:r>
          </w:p>
          <w:p w14:paraId="4358140C" w14:textId="426050CD" w:rsidR="00C83EA3" w:rsidRPr="0000167A" w:rsidRDefault="00C83EA3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  <w:r w:rsidRPr="0000167A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经营者简介</w:t>
            </w:r>
            <w:r w:rsidR="0000167A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（每个限1</w:t>
            </w:r>
            <w:r w:rsidR="0000167A"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  <w:t>00</w:t>
            </w:r>
            <w:r w:rsidR="0000167A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1796" w:type="dxa"/>
          </w:tcPr>
          <w:p w14:paraId="2505F12B" w14:textId="0E453E1B" w:rsidR="00C83EA3" w:rsidRPr="0000167A" w:rsidRDefault="00C83EA3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  <w:r w:rsidRPr="0000167A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1、</w:t>
            </w:r>
            <w:r w:rsidR="001D0A94" w:rsidRPr="0000167A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建银国际</w:t>
            </w:r>
          </w:p>
        </w:tc>
        <w:tc>
          <w:tcPr>
            <w:tcW w:w="5153" w:type="dxa"/>
          </w:tcPr>
          <w:p w14:paraId="581B4D6E" w14:textId="7783400D" w:rsidR="00C83EA3" w:rsidRDefault="004C13E3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建银国际于2</w:t>
            </w:r>
            <w:r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  <w:t>007</w:t>
            </w:r>
            <w:r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年</w:t>
            </w:r>
            <w:r w:rsidRPr="004C13E3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8月9日</w:t>
            </w:r>
            <w:r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成立于</w:t>
            </w:r>
            <w:r w:rsidR="00D04BBC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北京市</w:t>
            </w:r>
            <w:r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，主要从事中国境内的股权投资业务</w:t>
            </w:r>
            <w:r w:rsidR="00D04BBC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和</w:t>
            </w:r>
            <w:r w:rsidR="008F13C4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资产管理业务</w:t>
            </w:r>
            <w:r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。</w:t>
            </w:r>
          </w:p>
          <w:p w14:paraId="7001CC2B" w14:textId="76EA2BF9" w:rsidR="004C13E3" w:rsidRPr="0000167A" w:rsidRDefault="004C13E3" w:rsidP="006C12E9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建银国际的最终控制人为中国建设银行股份有限公司（“</w:t>
            </w:r>
            <w:r w:rsidRPr="00891AA6">
              <w:rPr>
                <w:rFonts w:ascii="宋体" w:hAnsi="宋体" w:cs="宋体" w:hint="eastAsia"/>
                <w:b/>
                <w:bCs/>
                <w:color w:val="333333"/>
                <w:kern w:val="0"/>
                <w:szCs w:val="24"/>
                <w:bdr w:val="none" w:sz="0" w:space="0" w:color="auto" w:frame="1"/>
              </w:rPr>
              <w:t>建设银行</w:t>
            </w:r>
            <w:r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”），建设银行是我国国有大型商业银行</w:t>
            </w:r>
            <w:r w:rsidR="00891AA6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，提供</w:t>
            </w:r>
            <w:r w:rsidR="006C12E9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综合性</w:t>
            </w:r>
            <w:r w:rsidR="00891AA6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金融服务。</w:t>
            </w:r>
          </w:p>
        </w:tc>
      </w:tr>
      <w:tr w:rsidR="00C83EA3" w:rsidRPr="0000167A" w14:paraId="2551C5FF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4D04C99A" w14:textId="77777777" w:rsidR="00C83EA3" w:rsidRPr="0000167A" w:rsidRDefault="00C83EA3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4BB70464" w14:textId="116C4D74" w:rsidR="00C83EA3" w:rsidRPr="0000167A" w:rsidRDefault="00C83EA3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  <w:r w:rsidRPr="0000167A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2、</w:t>
            </w:r>
            <w:r w:rsidR="001D0A94" w:rsidRPr="0000167A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央视频</w:t>
            </w:r>
          </w:p>
        </w:tc>
        <w:tc>
          <w:tcPr>
            <w:tcW w:w="5153" w:type="dxa"/>
          </w:tcPr>
          <w:p w14:paraId="73CDCA15" w14:textId="205C67F0" w:rsidR="00C83EA3" w:rsidRDefault="00BB1218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央视频于</w:t>
            </w:r>
            <w:r w:rsidRPr="00BB1218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2019年5月30日</w:t>
            </w:r>
            <w:r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成立于</w:t>
            </w:r>
            <w:r w:rsidR="00D04BBC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北京市</w:t>
            </w:r>
            <w:r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，主要</w:t>
            </w:r>
            <w:r w:rsidR="00F76E8A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从事新媒体内容制作与传播业务</w:t>
            </w:r>
            <w:r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。</w:t>
            </w:r>
          </w:p>
          <w:p w14:paraId="47305C4D" w14:textId="315CB8C4" w:rsidR="00BB1218" w:rsidRPr="0000167A" w:rsidRDefault="00891AA6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  <w:r w:rsidRPr="00891AA6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中央广播电视总台</w:t>
            </w:r>
            <w:r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（“</w:t>
            </w:r>
            <w:r w:rsidRPr="00891AA6">
              <w:rPr>
                <w:rFonts w:ascii="宋体" w:hAnsi="宋体" w:cs="宋体" w:hint="eastAsia"/>
                <w:b/>
                <w:bCs/>
                <w:color w:val="333333"/>
                <w:kern w:val="0"/>
                <w:szCs w:val="24"/>
                <w:bdr w:val="none" w:sz="0" w:space="0" w:color="auto" w:frame="1"/>
              </w:rPr>
              <w:t>总台</w:t>
            </w:r>
            <w:r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”）</w:t>
            </w:r>
            <w:r w:rsidRPr="00891AA6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系央视频最终控制人</w:t>
            </w:r>
            <w:r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，总台</w:t>
            </w:r>
            <w:r w:rsidR="00853766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主要从事</w:t>
            </w:r>
            <w:r w:rsidRPr="00891AA6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多语种广播电视节目制作与播出</w:t>
            </w:r>
            <w:r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等业务。</w:t>
            </w:r>
          </w:p>
        </w:tc>
      </w:tr>
      <w:tr w:rsidR="00C83EA3" w:rsidRPr="0000167A" w14:paraId="77C1F80A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1C1DBD4" w14:textId="77777777" w:rsidR="00C83EA3" w:rsidRPr="0000167A" w:rsidRDefault="00C83EA3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  <w:r w:rsidRPr="0000167A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051AFF54" w14:textId="77777777" w:rsidR="00C83EA3" w:rsidRPr="0000167A" w:rsidRDefault="00C83EA3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  <w:r w:rsidRPr="0000167A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□1.在同一相关市场，所有参与集中的经营者所占市场份额之和小于15%。</w:t>
            </w:r>
          </w:p>
        </w:tc>
      </w:tr>
      <w:tr w:rsidR="00C83EA3" w:rsidRPr="0000167A" w14:paraId="614CB707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675583E0" w14:textId="77777777" w:rsidR="00C83EA3" w:rsidRPr="0000167A" w:rsidRDefault="00C83EA3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6B10D01" w14:textId="77777777" w:rsidR="00C83EA3" w:rsidRPr="0000167A" w:rsidRDefault="00C83EA3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  <w:r w:rsidRPr="0000167A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□2.存在上下游关系的参与集中的经营者，在上下游市场所占的市场份额均小于25%。</w:t>
            </w:r>
          </w:p>
        </w:tc>
      </w:tr>
      <w:tr w:rsidR="00C83EA3" w:rsidRPr="0000167A" w14:paraId="639463BC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57167550" w14:textId="77777777" w:rsidR="00C83EA3" w:rsidRPr="0000167A" w:rsidRDefault="00C83EA3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39F5BE0" w14:textId="42ABC880" w:rsidR="00C83EA3" w:rsidRPr="0000167A" w:rsidRDefault="001D0A94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  <w:r w:rsidRPr="0000167A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sym w:font="Wingdings 2" w:char="F052"/>
            </w:r>
            <w:r w:rsidR="00C83EA3" w:rsidRPr="0000167A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3.不在同一相关市场、也不存在上下游关系的参与集中的经营者，在与交易有关的每个市场所占的份额均小于25%。</w:t>
            </w:r>
          </w:p>
        </w:tc>
      </w:tr>
      <w:tr w:rsidR="00C83EA3" w:rsidRPr="0000167A" w14:paraId="397599D8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4EC30873" w14:textId="77777777" w:rsidR="00C83EA3" w:rsidRPr="0000167A" w:rsidRDefault="00C83EA3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B2805DC" w14:textId="77777777" w:rsidR="00C83EA3" w:rsidRPr="0000167A" w:rsidRDefault="00C83EA3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  <w:r w:rsidRPr="0000167A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C83EA3" w:rsidRPr="0000167A" w14:paraId="1EE1796F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6F9BD3E6" w14:textId="77777777" w:rsidR="00C83EA3" w:rsidRPr="0000167A" w:rsidRDefault="00C83EA3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81D15FD" w14:textId="77777777" w:rsidR="00C83EA3" w:rsidRPr="0000167A" w:rsidRDefault="00C83EA3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  <w:r w:rsidRPr="0000167A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C83EA3" w:rsidRPr="0000167A" w14:paraId="1FD0AB51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4AFC47BA" w14:textId="77777777" w:rsidR="00C83EA3" w:rsidRPr="0000167A" w:rsidRDefault="00C83EA3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B589172" w14:textId="77777777" w:rsidR="00C83EA3" w:rsidRPr="0000167A" w:rsidRDefault="00C83EA3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  <w:r w:rsidRPr="0000167A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C83EA3" w:rsidRPr="0000167A" w14:paraId="5BD109A0" w14:textId="77777777" w:rsidTr="00CB00DF">
        <w:tc>
          <w:tcPr>
            <w:tcW w:w="1809" w:type="dxa"/>
            <w:shd w:val="clear" w:color="auto" w:fill="D9D9D9"/>
            <w:vAlign w:val="center"/>
          </w:tcPr>
          <w:p w14:paraId="2349014B" w14:textId="77777777" w:rsidR="00C83EA3" w:rsidRPr="0000167A" w:rsidRDefault="00C83EA3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  <w:r w:rsidRPr="0000167A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14:paraId="0C542A3C" w14:textId="51B86AEA" w:rsidR="00891AA6" w:rsidRDefault="00D04BBC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b/>
                <w:bCs/>
                <w:color w:val="333333"/>
                <w:kern w:val="0"/>
                <w:szCs w:val="24"/>
                <w:bdr w:val="none" w:sz="0" w:space="0" w:color="auto" w:frame="1"/>
              </w:rPr>
            </w:pPr>
            <w:r>
              <w:rPr>
                <w:rFonts w:ascii="宋体" w:hAnsi="宋体" w:cs="宋体" w:hint="eastAsia"/>
                <w:b/>
                <w:bCs/>
                <w:color w:val="333333"/>
                <w:kern w:val="0"/>
                <w:szCs w:val="24"/>
                <w:bdr w:val="none" w:sz="0" w:space="0" w:color="auto" w:frame="1"/>
              </w:rPr>
              <w:t>混合集中：</w:t>
            </w:r>
          </w:p>
          <w:p w14:paraId="69398278" w14:textId="77777777" w:rsidR="00D04BBC" w:rsidRPr="003909E7" w:rsidRDefault="00D04BBC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  <w:r w:rsidRPr="003909E7"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  <w:t>2021</w:t>
            </w:r>
            <w:r w:rsidRPr="003909E7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年中国境内电商代运营市场</w:t>
            </w:r>
          </w:p>
          <w:p w14:paraId="42C35CEF" w14:textId="54A56C53" w:rsidR="00D04BBC" w:rsidRPr="0000167A" w:rsidRDefault="00D04BBC" w:rsidP="001C554E">
            <w:pPr>
              <w:spacing w:after="156" w:line="276" w:lineRule="auto"/>
              <w:ind w:firstLineChars="0" w:firstLine="0"/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</w:pPr>
            <w:r w:rsidRPr="003909E7">
              <w:rPr>
                <w:rFonts w:ascii="宋体" w:hAnsi="宋体" w:cs="宋体" w:hint="eastAsia"/>
                <w:color w:val="333333"/>
                <w:kern w:val="0"/>
                <w:szCs w:val="24"/>
                <w:bdr w:val="none" w:sz="0" w:space="0" w:color="auto" w:frame="1"/>
              </w:rPr>
              <w:t>合营企业预估：</w:t>
            </w:r>
            <w:r w:rsidRPr="003909E7">
              <w:rPr>
                <w:rFonts w:ascii="宋体" w:hAnsi="宋体" w:cs="宋体"/>
                <w:color w:val="333333"/>
                <w:kern w:val="0"/>
                <w:szCs w:val="24"/>
                <w:bdr w:val="none" w:sz="0" w:space="0" w:color="auto" w:frame="1"/>
              </w:rPr>
              <w:t>0%-5%</w:t>
            </w:r>
          </w:p>
        </w:tc>
      </w:tr>
    </w:tbl>
    <w:p w14:paraId="7D6B1FEE" w14:textId="77777777" w:rsidR="00C83EA3" w:rsidRDefault="00C83EA3" w:rsidP="00CB00DF">
      <w:pPr>
        <w:snapToGrid w:val="0"/>
        <w:spacing w:after="156" w:line="240" w:lineRule="exact"/>
        <w:ind w:firstLine="480"/>
        <w:jc w:val="left"/>
        <w:rPr>
          <w:rFonts w:ascii="楷体_GB2312" w:eastAsia="楷体_GB2312" w:hAnsi="宋体"/>
          <w:szCs w:val="24"/>
        </w:rPr>
      </w:pPr>
    </w:p>
    <w:p w14:paraId="34DAEE9F" w14:textId="77777777" w:rsidR="009F6483" w:rsidRPr="00D04BBC" w:rsidRDefault="009F6483" w:rsidP="00C83EA3">
      <w:pPr>
        <w:spacing w:after="156"/>
        <w:ind w:firstLine="480"/>
      </w:pPr>
    </w:p>
    <w:sectPr w:rsidR="009F6483" w:rsidRPr="00D04BB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1488B" w14:textId="77777777" w:rsidR="00442ACF" w:rsidRDefault="00442ACF" w:rsidP="0095050C">
      <w:pPr>
        <w:spacing w:after="120" w:line="240" w:lineRule="auto"/>
        <w:ind w:firstLine="480"/>
      </w:pPr>
      <w:r>
        <w:separator/>
      </w:r>
    </w:p>
  </w:endnote>
  <w:endnote w:type="continuationSeparator" w:id="0">
    <w:p w14:paraId="39D6828C" w14:textId="77777777" w:rsidR="00442ACF" w:rsidRDefault="00442ACF" w:rsidP="0095050C">
      <w:pPr>
        <w:spacing w:after="12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altName w:val="汉仪楷体简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B8944" w14:textId="77777777" w:rsidR="00853766" w:rsidRDefault="00853766">
    <w:pPr>
      <w:pStyle w:val="ae"/>
      <w:spacing w:after="12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5B5ECD" w14:textId="77777777" w:rsidR="00853766" w:rsidRDefault="00853766">
    <w:pPr>
      <w:pStyle w:val="ae"/>
      <w:spacing w:after="12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1DD901" w14:textId="77777777" w:rsidR="00853766" w:rsidRDefault="00853766">
    <w:pPr>
      <w:pStyle w:val="ae"/>
      <w:spacing w:after="12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6DB5E" w14:textId="77777777" w:rsidR="00442ACF" w:rsidRDefault="00442ACF" w:rsidP="0095050C">
      <w:pPr>
        <w:spacing w:after="120" w:line="240" w:lineRule="auto"/>
        <w:ind w:firstLine="480"/>
      </w:pPr>
      <w:r>
        <w:separator/>
      </w:r>
    </w:p>
  </w:footnote>
  <w:footnote w:type="continuationSeparator" w:id="0">
    <w:p w14:paraId="0229045C" w14:textId="77777777" w:rsidR="00442ACF" w:rsidRDefault="00442ACF" w:rsidP="0095050C">
      <w:pPr>
        <w:spacing w:after="12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766F2" w14:textId="77777777" w:rsidR="00853766" w:rsidRDefault="00853766">
    <w:pPr>
      <w:pStyle w:val="ac"/>
      <w:spacing w:after="12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5E5474" w14:textId="77777777" w:rsidR="00853766" w:rsidRDefault="00853766">
    <w:pPr>
      <w:pStyle w:val="ac"/>
      <w:spacing w:after="12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B9642" w14:textId="77777777" w:rsidR="00853766" w:rsidRDefault="00853766">
    <w:pPr>
      <w:pStyle w:val="ac"/>
      <w:spacing w:after="120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1892"/>
    <w:rsid w:val="0000167A"/>
    <w:rsid w:val="00001892"/>
    <w:rsid w:val="001678EB"/>
    <w:rsid w:val="001A45E7"/>
    <w:rsid w:val="001C554E"/>
    <w:rsid w:val="001D0A94"/>
    <w:rsid w:val="002A1B92"/>
    <w:rsid w:val="002D6E45"/>
    <w:rsid w:val="00357EC3"/>
    <w:rsid w:val="003909E7"/>
    <w:rsid w:val="004271F5"/>
    <w:rsid w:val="00442ACF"/>
    <w:rsid w:val="004C13E3"/>
    <w:rsid w:val="006C12E9"/>
    <w:rsid w:val="00816661"/>
    <w:rsid w:val="00843117"/>
    <w:rsid w:val="00853766"/>
    <w:rsid w:val="00891AA6"/>
    <w:rsid w:val="008A4EA6"/>
    <w:rsid w:val="008F13C4"/>
    <w:rsid w:val="0095050C"/>
    <w:rsid w:val="009D06A9"/>
    <w:rsid w:val="009F6483"/>
    <w:rsid w:val="00B32F7B"/>
    <w:rsid w:val="00BA5DFB"/>
    <w:rsid w:val="00BB1218"/>
    <w:rsid w:val="00C83EA3"/>
    <w:rsid w:val="00CE6751"/>
    <w:rsid w:val="00D04BBC"/>
    <w:rsid w:val="00E8172E"/>
    <w:rsid w:val="00EB255F"/>
    <w:rsid w:val="00EB3948"/>
    <w:rsid w:val="00F06021"/>
    <w:rsid w:val="00F50159"/>
    <w:rsid w:val="00F7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AED29"/>
  <w15:docId w15:val="{580DDDE5-24B4-4E85-94A5-E9E18BBE1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172E"/>
    <w:pPr>
      <w:widowControl w:val="0"/>
      <w:spacing w:afterLines="50" w:after="50"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F50159"/>
    <w:pPr>
      <w:keepNext/>
      <w:keepLines/>
      <w:spacing w:before="120"/>
      <w:outlineLvl w:val="0"/>
    </w:pPr>
    <w:rPr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B255F"/>
    <w:pPr>
      <w:keepNext/>
      <w:keepLines/>
      <w:spacing w:before="120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255F"/>
    <w:pPr>
      <w:keepNext/>
      <w:keepLines/>
      <w:spacing w:afterLines="0" w:after="0"/>
      <w:outlineLvl w:val="2"/>
    </w:pPr>
    <w:rPr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0159"/>
    <w:rPr>
      <w:rFonts w:ascii="Times New Roman" w:eastAsia="宋体" w:hAnsi="Times New Roman"/>
      <w:b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EB255F"/>
    <w:rPr>
      <w:rFonts w:ascii="Times New Roman" w:eastAsia="宋体" w:hAnsi="Times New Roman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B255F"/>
    <w:rPr>
      <w:rFonts w:ascii="Times New Roman" w:eastAsia="宋体" w:hAnsi="Times New Roman"/>
      <w:bCs/>
      <w:sz w:val="24"/>
      <w:szCs w:val="32"/>
    </w:rPr>
  </w:style>
  <w:style w:type="paragraph" w:styleId="a3">
    <w:name w:val="footnote text"/>
    <w:basedOn w:val="a"/>
    <w:link w:val="a4"/>
    <w:rsid w:val="0095050C"/>
    <w:pPr>
      <w:snapToGrid w:val="0"/>
      <w:spacing w:afterLines="0" w:after="0" w:line="240" w:lineRule="auto"/>
      <w:ind w:firstLineChars="0" w:firstLine="0"/>
      <w:jc w:val="left"/>
    </w:pPr>
    <w:rPr>
      <w:rFonts w:cs="Times New Roman"/>
      <w:sz w:val="18"/>
      <w:szCs w:val="18"/>
    </w:rPr>
  </w:style>
  <w:style w:type="character" w:customStyle="1" w:styleId="a4">
    <w:name w:val="脚注文本 字符"/>
    <w:basedOn w:val="a0"/>
    <w:link w:val="a3"/>
    <w:rsid w:val="0095050C"/>
    <w:rPr>
      <w:rFonts w:ascii="Times New Roman" w:eastAsia="宋体" w:hAnsi="Times New Roman" w:cs="Times New Roman"/>
      <w:sz w:val="18"/>
      <w:szCs w:val="18"/>
    </w:rPr>
  </w:style>
  <w:style w:type="paragraph" w:styleId="a5">
    <w:name w:val="endnote text"/>
    <w:basedOn w:val="a"/>
    <w:link w:val="a6"/>
    <w:rsid w:val="0095050C"/>
    <w:pPr>
      <w:snapToGrid w:val="0"/>
      <w:spacing w:afterLines="0" w:after="0" w:line="240" w:lineRule="auto"/>
      <w:ind w:firstLineChars="0" w:firstLine="0"/>
      <w:jc w:val="left"/>
    </w:pPr>
    <w:rPr>
      <w:rFonts w:cs="Times New Roman"/>
      <w:sz w:val="21"/>
      <w:szCs w:val="24"/>
    </w:rPr>
  </w:style>
  <w:style w:type="character" w:customStyle="1" w:styleId="a6">
    <w:name w:val="尾注文本 字符"/>
    <w:basedOn w:val="a0"/>
    <w:link w:val="a5"/>
    <w:rsid w:val="0095050C"/>
    <w:rPr>
      <w:rFonts w:ascii="Times New Roman" w:eastAsia="宋体" w:hAnsi="Times New Roman" w:cs="Times New Roman"/>
      <w:szCs w:val="24"/>
    </w:rPr>
  </w:style>
  <w:style w:type="character" w:styleId="a7">
    <w:name w:val="endnote reference"/>
    <w:rsid w:val="0095050C"/>
    <w:rPr>
      <w:vertAlign w:val="superscript"/>
    </w:rPr>
  </w:style>
  <w:style w:type="character" w:styleId="a8">
    <w:name w:val="Hyperlink"/>
    <w:rsid w:val="0095050C"/>
    <w:rPr>
      <w:color w:val="0000FF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6C12E9"/>
    <w:pPr>
      <w:spacing w:after="0" w:line="240" w:lineRule="auto"/>
    </w:pPr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6C12E9"/>
    <w:rPr>
      <w:rFonts w:ascii="Times New Roman" w:eastAsia="宋体" w:hAnsi="Times New Roman"/>
      <w:sz w:val="18"/>
      <w:szCs w:val="18"/>
    </w:rPr>
  </w:style>
  <w:style w:type="paragraph" w:styleId="ab">
    <w:name w:val="Revision"/>
    <w:hidden/>
    <w:uiPriority w:val="99"/>
    <w:semiHidden/>
    <w:rsid w:val="00816661"/>
    <w:rPr>
      <w:rFonts w:ascii="Times New Roman" w:eastAsia="宋体" w:hAnsi="Times New Roman"/>
      <w:sz w:val="24"/>
    </w:rPr>
  </w:style>
  <w:style w:type="paragraph" w:styleId="ac">
    <w:name w:val="header"/>
    <w:basedOn w:val="a"/>
    <w:link w:val="ad"/>
    <w:uiPriority w:val="99"/>
    <w:unhideWhenUsed/>
    <w:rsid w:val="0085376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853766"/>
    <w:rPr>
      <w:rFonts w:ascii="Times New Roman" w:eastAsia="宋体" w:hAnsi="Times New Roman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85376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853766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D593D8C-BB04-4EA4-BE54-8B887D5E9C5B}">
  <we:reference id="33956619-e637-49c6-abf0-2bcbbb047212" version="1.0.0.1" store="EXCatalog" storeType="EXCatalog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冯刚律师团队</dc:creator>
  <cp:keywords/>
  <dc:description/>
  <cp:lastModifiedBy>冯刚律师团队</cp:lastModifiedBy>
  <cp:revision>15</cp:revision>
  <dcterms:created xsi:type="dcterms:W3CDTF">2022-05-26T03:02:00Z</dcterms:created>
  <dcterms:modified xsi:type="dcterms:W3CDTF">2022-10-25T09:34:00Z</dcterms:modified>
</cp:coreProperties>
</file>