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经营者集中简易案件公示表</w:t>
      </w:r>
    </w:p>
    <w:tbl>
      <w:tblPr>
        <w:tblStyle w:val="6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1384"/>
        <w:gridCol w:w="51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案件名称</w:t>
            </w:r>
          </w:p>
        </w:tc>
        <w:tc>
          <w:tcPr>
            <w:tcW w:w="6487" w:type="dxa"/>
            <w:gridSpan w:val="2"/>
          </w:tcPr>
          <w:p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kern w:val="0"/>
                <w:sz w:val="22"/>
              </w:rPr>
              <w:t>安宏国际资本公司收购W</w:t>
            </w:r>
            <w:r>
              <w:rPr>
                <w:rFonts w:ascii="Times New Roman" w:hAnsi="Times New Roman"/>
                <w:kern w:val="0"/>
                <w:sz w:val="22"/>
              </w:rPr>
              <w:t>ilbur-Ellis</w:t>
            </w:r>
            <w:r>
              <w:rPr>
                <w:rFonts w:hint="eastAsia" w:ascii="Times New Roman" w:hAnsi="Times New Roman"/>
                <w:kern w:val="0"/>
                <w:sz w:val="22"/>
              </w:rPr>
              <w:t>控股公司部分业务案</w:t>
            </w:r>
            <w:r>
              <w:rPr>
                <w:rFonts w:ascii="Times New Roman" w:hAnsi="Times New Roman"/>
                <w:kern w:val="0"/>
                <w:sz w:val="22"/>
              </w:rPr>
              <w:t>（以下简称“</w:t>
            </w:r>
            <w:r>
              <w:rPr>
                <w:rFonts w:hint="eastAsia" w:ascii="Times New Roman" w:hAnsi="Times New Roman"/>
                <w:b w:val="0"/>
                <w:bCs/>
                <w:kern w:val="0"/>
                <w:sz w:val="22"/>
              </w:rPr>
              <w:t>本次</w:t>
            </w:r>
            <w:r>
              <w:rPr>
                <w:rFonts w:ascii="Times New Roman" w:hAnsi="Times New Roman"/>
                <w:b w:val="0"/>
                <w:bCs/>
                <w:kern w:val="0"/>
                <w:sz w:val="22"/>
              </w:rPr>
              <w:t>交易”</w:t>
            </w:r>
            <w:r>
              <w:rPr>
                <w:rFonts w:ascii="Times New Roman" w:hAnsi="Times New Roman"/>
                <w:kern w:val="0"/>
                <w:sz w:val="22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73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交易概况</w:t>
            </w:r>
          </w:p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（限200字内）</w:t>
            </w:r>
          </w:p>
        </w:tc>
        <w:tc>
          <w:tcPr>
            <w:tcW w:w="6487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安宏国际资本公司（“安宏资本”）通过其控制的实体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:lang w:val="en-GB"/>
                <w14:textFill>
                  <w14:solidFill>
                    <w14:schemeClr w14:val="tx1"/>
                  </w14:solidFill>
                </w14:textFill>
              </w:rPr>
              <w:t>卡尔迪克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与Wilbur-Ellis控股公司（“Wilbur-Ellis”）控制的实体签署协议，以收购Wilbur-Ellis的特种化学品经销业务（贸易名称为“科耐欧”）（下称“目标业务”）。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:lang w:val="en-GB"/>
                <w14:textFill>
                  <w14:solidFill>
                    <w14:schemeClr w14:val="tx1"/>
                  </w14:solidFill>
                </w14:textFill>
              </w:rPr>
              <w:t>本次交易前，Wilbur-Ellis单独控制目标业务。本次交易后，安宏资本将单独控制卡尔迪克与目标业务合并后的集团，而Wilbur-Ellis将成为不具有控制权的小股东。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参与集中的</w:t>
            </w:r>
          </w:p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经营者简介</w:t>
            </w:r>
          </w:p>
        </w:tc>
        <w:tc>
          <w:tcPr>
            <w:tcW w:w="1384" w:type="dxa"/>
            <w:vAlign w:val="center"/>
          </w:tcPr>
          <w:p>
            <w:pP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安宏资本</w:t>
            </w:r>
          </w:p>
        </w:tc>
        <w:tc>
          <w:tcPr>
            <w:tcW w:w="510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安宏资本于1984年成立于美国，是一家总部位于美国马萨诸塞州波士顿市的私募股权投资集团。安宏资本专注于全球各个行业的股权收购和投资基金管理，包括商业和金融服务；工业产品和服务；零售业务、品牌消费品和休闲服务；媒体、电信和信息技术；以及医疗服务和药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安宏资本无最终控制人。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4" w:type="dxa"/>
            <w:vAlign w:val="center"/>
          </w:tcPr>
          <w:p>
            <w:pP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、目标业务</w:t>
            </w:r>
          </w:p>
        </w:tc>
        <w:tc>
          <w:tcPr>
            <w:tcW w:w="5103" w:type="dxa"/>
          </w:tcPr>
          <w:p>
            <w:pPr>
              <w:widowControl/>
              <w:snapToGrid w:val="0"/>
              <w:rPr>
                <w:rFonts w:ascii="Times New Roman" w:hAnsi="Times New Roman"/>
                <w:color w:val="000000"/>
                <w:spacing w:val="-2"/>
                <w:sz w:val="22"/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目标业务</w:t>
            </w:r>
            <w:r>
              <w:rPr>
                <w:rFonts w:hint="eastAsia" w:ascii="Times New Roman" w:hAnsi="Times New Roman"/>
                <w:color w:val="000000"/>
                <w:spacing w:val="-2"/>
                <w:sz w:val="22"/>
              </w:rPr>
              <w:t>由</w:t>
            </w:r>
            <w:r>
              <w:rPr>
                <w:rFonts w:ascii="Times New Roman" w:hAnsi="Times New Roman"/>
                <w:color w:val="000000"/>
                <w:spacing w:val="-2"/>
                <w:sz w:val="22"/>
              </w:rPr>
              <w:t>Wilbur-Ellis</w:t>
            </w:r>
            <w:r>
              <w:rPr>
                <w:rFonts w:hint="eastAsia" w:ascii="Times New Roman" w:hAnsi="Times New Roman"/>
                <w:color w:val="000000"/>
                <w:spacing w:val="-2"/>
                <w:sz w:val="22"/>
              </w:rPr>
              <w:t>集团项下多家从事特种化学品经销的实体组成，其特种化学品经销业务的贸易名称为“科耐欧”。</w:t>
            </w:r>
          </w:p>
          <w:p>
            <w:pPr>
              <w:widowControl/>
              <w:snapToGrid w:val="0"/>
              <w:rPr>
                <w:rFonts w:ascii="Times" w:hAnsi="Times"/>
                <w:color w:val="000000" w:themeColor="text1"/>
                <w:sz w:val="22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目标业务</w:t>
            </w:r>
            <w:r>
              <w:rPr>
                <w:rFonts w:hint="eastAsia" w:ascii="Times New Roman" w:hAnsi="Times New Roman"/>
                <w:kern w:val="0"/>
                <w:sz w:val="22"/>
              </w:rPr>
              <w:t>的最终控制人为Wilbur-Ellis，于</w:t>
            </w:r>
            <w:r>
              <w:rPr>
                <w:rFonts w:ascii="Times New Roman" w:hAnsi="Times New Roman"/>
                <w:kern w:val="0"/>
                <w:sz w:val="22"/>
              </w:rPr>
              <w:t>2013</w:t>
            </w:r>
            <w:r>
              <w:rPr>
                <w:rFonts w:hint="eastAsia" w:ascii="Times New Roman" w:hAnsi="Times New Roman"/>
                <w:kern w:val="0"/>
                <w:sz w:val="22"/>
              </w:rPr>
              <w:t>年成立于美国。</w:t>
            </w:r>
            <w:r>
              <w:rPr>
                <w:rFonts w:hint="eastAsia" w:ascii="Times New Roman" w:hAnsi="Times New Roman"/>
                <w:color w:val="000000"/>
                <w:sz w:val="22"/>
              </w:rPr>
              <w:t>Wilbur-Ellis是一家农产品、动物营养品与特种化学品全球营销和经销商。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简易案件理由（可以单选，也可以多选）</w:t>
            </w: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sym w:font="Wingdings" w:char="F0FE"/>
            </w: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6.由两个以上的经营者共同控制的合营企业，通过集中被其中一个或一个以上经营者控制。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6487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ascii="Times New Roman" w:hAnsi="Times New Roman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横向重叠：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021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年中国境内特种化学品经销业务市场：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安宏资本：0</w:t>
            </w: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-5%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，目标业务：0</w:t>
            </w: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-5%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，各方合计：0</w:t>
            </w:r>
            <w:r>
              <w:rPr>
                <w:rFonts w:ascii="Times New Roman" w:hAnsi="Times New Roman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-5%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852783"/>
    <w:multiLevelType w:val="multilevel"/>
    <w:tmpl w:val="46852783"/>
    <w:lvl w:ilvl="0" w:tentative="0">
      <w:start w:val="1"/>
      <w:numFmt w:val="decimal"/>
      <w:lvlText w:val="(%1)"/>
      <w:lvlJc w:val="left"/>
      <w:pPr>
        <w:ind w:left="2563" w:hanging="720"/>
      </w:pPr>
      <w:rPr>
        <w:b w:val="0"/>
        <w:bCs w:val="0"/>
        <w:sz w:val="20"/>
      </w:rPr>
    </w:lvl>
    <w:lvl w:ilvl="1" w:tentative="0">
      <w:start w:val="1"/>
      <w:numFmt w:val="none"/>
      <w:lvlText w:val="%2."/>
      <w:lvlJc w:val="left"/>
      <w:pPr>
        <w:ind w:left="4723" w:hanging="360"/>
      </w:pPr>
    </w:lvl>
    <w:lvl w:ilvl="2" w:tentative="0">
      <w:start w:val="1"/>
      <w:numFmt w:val="none"/>
      <w:lvlText w:val="%3."/>
      <w:lvlJc w:val="right"/>
      <w:pPr>
        <w:ind w:left="5443" w:hanging="180"/>
      </w:pPr>
    </w:lvl>
    <w:lvl w:ilvl="3" w:tentative="0">
      <w:start w:val="1"/>
      <w:numFmt w:val="none"/>
      <w:lvlText w:val="%4."/>
      <w:lvlJc w:val="left"/>
      <w:pPr>
        <w:ind w:left="6163" w:hanging="360"/>
      </w:pPr>
    </w:lvl>
    <w:lvl w:ilvl="4" w:tentative="0">
      <w:start w:val="1"/>
      <w:numFmt w:val="lowerLetter"/>
      <w:lvlText w:val="%5."/>
      <w:lvlJc w:val="left"/>
      <w:pPr>
        <w:ind w:left="6883" w:hanging="360"/>
      </w:pPr>
    </w:lvl>
    <w:lvl w:ilvl="5" w:tentative="0">
      <w:start w:val="1"/>
      <w:numFmt w:val="lowerRoman"/>
      <w:lvlText w:val="%6."/>
      <w:lvlJc w:val="right"/>
      <w:pPr>
        <w:ind w:left="7603" w:hanging="180"/>
      </w:pPr>
    </w:lvl>
    <w:lvl w:ilvl="6" w:tentative="0">
      <w:start w:val="1"/>
      <w:numFmt w:val="decimal"/>
      <w:lvlText w:val="%7."/>
      <w:lvlJc w:val="left"/>
      <w:pPr>
        <w:ind w:left="8323" w:hanging="360"/>
      </w:pPr>
    </w:lvl>
    <w:lvl w:ilvl="7" w:tentative="0">
      <w:start w:val="1"/>
      <w:numFmt w:val="lowerLetter"/>
      <w:lvlText w:val="%8."/>
      <w:lvlJc w:val="left"/>
      <w:pPr>
        <w:ind w:left="9043" w:hanging="360"/>
      </w:pPr>
    </w:lvl>
    <w:lvl w:ilvl="8" w:tentative="0">
      <w:start w:val="1"/>
      <w:numFmt w:val="lowerRoman"/>
      <w:lvlText w:val="%9."/>
      <w:lvlJc w:val="right"/>
      <w:pPr>
        <w:ind w:left="976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2441"/>
    <w:rsid w:val="00037065"/>
    <w:rsid w:val="00050BF4"/>
    <w:rsid w:val="00067865"/>
    <w:rsid w:val="00082B3E"/>
    <w:rsid w:val="00087411"/>
    <w:rsid w:val="000B7A5A"/>
    <w:rsid w:val="000D0F14"/>
    <w:rsid w:val="000D35D8"/>
    <w:rsid w:val="000D650F"/>
    <w:rsid w:val="000D7EBA"/>
    <w:rsid w:val="000E2E28"/>
    <w:rsid w:val="000E34B9"/>
    <w:rsid w:val="0010048D"/>
    <w:rsid w:val="001031AB"/>
    <w:rsid w:val="001164CD"/>
    <w:rsid w:val="00122E7F"/>
    <w:rsid w:val="001461BB"/>
    <w:rsid w:val="00155717"/>
    <w:rsid w:val="001837A3"/>
    <w:rsid w:val="001847FF"/>
    <w:rsid w:val="001C692C"/>
    <w:rsid w:val="001E4187"/>
    <w:rsid w:val="00227BEF"/>
    <w:rsid w:val="00294AC4"/>
    <w:rsid w:val="002A3C30"/>
    <w:rsid w:val="002A4976"/>
    <w:rsid w:val="002B7EA6"/>
    <w:rsid w:val="002D6FF0"/>
    <w:rsid w:val="0031643E"/>
    <w:rsid w:val="00347CDD"/>
    <w:rsid w:val="00351604"/>
    <w:rsid w:val="00375E19"/>
    <w:rsid w:val="003851AC"/>
    <w:rsid w:val="003963DC"/>
    <w:rsid w:val="003A1A0D"/>
    <w:rsid w:val="003A528C"/>
    <w:rsid w:val="003A5E04"/>
    <w:rsid w:val="003B28EE"/>
    <w:rsid w:val="003C0AEB"/>
    <w:rsid w:val="003C0F31"/>
    <w:rsid w:val="003D6C64"/>
    <w:rsid w:val="003E3EA1"/>
    <w:rsid w:val="004009B7"/>
    <w:rsid w:val="00411781"/>
    <w:rsid w:val="004118DF"/>
    <w:rsid w:val="00446902"/>
    <w:rsid w:val="00482832"/>
    <w:rsid w:val="0048349A"/>
    <w:rsid w:val="0049387F"/>
    <w:rsid w:val="00496055"/>
    <w:rsid w:val="004B510B"/>
    <w:rsid w:val="004C3993"/>
    <w:rsid w:val="004C48D8"/>
    <w:rsid w:val="004C5266"/>
    <w:rsid w:val="004E6C7C"/>
    <w:rsid w:val="004F0673"/>
    <w:rsid w:val="004F4B53"/>
    <w:rsid w:val="004F7688"/>
    <w:rsid w:val="00500953"/>
    <w:rsid w:val="00501CED"/>
    <w:rsid w:val="005022BA"/>
    <w:rsid w:val="00504009"/>
    <w:rsid w:val="00533163"/>
    <w:rsid w:val="00545B2E"/>
    <w:rsid w:val="00554B02"/>
    <w:rsid w:val="005632C0"/>
    <w:rsid w:val="005703C2"/>
    <w:rsid w:val="00572BFB"/>
    <w:rsid w:val="00572E55"/>
    <w:rsid w:val="005835A4"/>
    <w:rsid w:val="00586A4B"/>
    <w:rsid w:val="005908B9"/>
    <w:rsid w:val="00590A01"/>
    <w:rsid w:val="005B2151"/>
    <w:rsid w:val="005E7B68"/>
    <w:rsid w:val="005F5091"/>
    <w:rsid w:val="0060331B"/>
    <w:rsid w:val="006467D8"/>
    <w:rsid w:val="00651D33"/>
    <w:rsid w:val="00652E2B"/>
    <w:rsid w:val="006808AE"/>
    <w:rsid w:val="00692798"/>
    <w:rsid w:val="006A531B"/>
    <w:rsid w:val="006B3937"/>
    <w:rsid w:val="006F4C28"/>
    <w:rsid w:val="006F7693"/>
    <w:rsid w:val="00710140"/>
    <w:rsid w:val="0071220D"/>
    <w:rsid w:val="00717A11"/>
    <w:rsid w:val="007434FF"/>
    <w:rsid w:val="00752DEE"/>
    <w:rsid w:val="00767409"/>
    <w:rsid w:val="00770D7C"/>
    <w:rsid w:val="00787B1B"/>
    <w:rsid w:val="00791095"/>
    <w:rsid w:val="00792C21"/>
    <w:rsid w:val="007A2BC9"/>
    <w:rsid w:val="007A36B6"/>
    <w:rsid w:val="007B6071"/>
    <w:rsid w:val="007C0D5B"/>
    <w:rsid w:val="007D12C0"/>
    <w:rsid w:val="007E11AE"/>
    <w:rsid w:val="007E4BD2"/>
    <w:rsid w:val="007F2275"/>
    <w:rsid w:val="00806960"/>
    <w:rsid w:val="00815EDA"/>
    <w:rsid w:val="0089067D"/>
    <w:rsid w:val="008A3A80"/>
    <w:rsid w:val="008F6490"/>
    <w:rsid w:val="0090012E"/>
    <w:rsid w:val="00907DA5"/>
    <w:rsid w:val="0091341E"/>
    <w:rsid w:val="00915F0F"/>
    <w:rsid w:val="009377AF"/>
    <w:rsid w:val="009532DF"/>
    <w:rsid w:val="00971615"/>
    <w:rsid w:val="00997019"/>
    <w:rsid w:val="009A5029"/>
    <w:rsid w:val="009A67F9"/>
    <w:rsid w:val="009B2358"/>
    <w:rsid w:val="009C2A2D"/>
    <w:rsid w:val="009D38D5"/>
    <w:rsid w:val="009E0F5C"/>
    <w:rsid w:val="00A53F26"/>
    <w:rsid w:val="00A7507C"/>
    <w:rsid w:val="00A92FE5"/>
    <w:rsid w:val="00AA0CC5"/>
    <w:rsid w:val="00AA5428"/>
    <w:rsid w:val="00AB04BF"/>
    <w:rsid w:val="00AB6D6F"/>
    <w:rsid w:val="00B10DBD"/>
    <w:rsid w:val="00B16AFE"/>
    <w:rsid w:val="00B20888"/>
    <w:rsid w:val="00B44662"/>
    <w:rsid w:val="00B6499A"/>
    <w:rsid w:val="00B65DD5"/>
    <w:rsid w:val="00B95957"/>
    <w:rsid w:val="00BA0162"/>
    <w:rsid w:val="00BA4256"/>
    <w:rsid w:val="00BA436E"/>
    <w:rsid w:val="00BB4A0C"/>
    <w:rsid w:val="00BD10B6"/>
    <w:rsid w:val="00BD2E2C"/>
    <w:rsid w:val="00C04D1D"/>
    <w:rsid w:val="00C07076"/>
    <w:rsid w:val="00C75113"/>
    <w:rsid w:val="00C81116"/>
    <w:rsid w:val="00C82715"/>
    <w:rsid w:val="00C830AC"/>
    <w:rsid w:val="00C92C3E"/>
    <w:rsid w:val="00C93E8B"/>
    <w:rsid w:val="00CB00DF"/>
    <w:rsid w:val="00CB07DC"/>
    <w:rsid w:val="00CB2E54"/>
    <w:rsid w:val="00CD4BCD"/>
    <w:rsid w:val="00CD6E31"/>
    <w:rsid w:val="00D00A3F"/>
    <w:rsid w:val="00D14522"/>
    <w:rsid w:val="00D1722B"/>
    <w:rsid w:val="00D43EC3"/>
    <w:rsid w:val="00D73C72"/>
    <w:rsid w:val="00DB155D"/>
    <w:rsid w:val="00DC073B"/>
    <w:rsid w:val="00DC558F"/>
    <w:rsid w:val="00E03CAE"/>
    <w:rsid w:val="00E0592B"/>
    <w:rsid w:val="00E05B2E"/>
    <w:rsid w:val="00E127E1"/>
    <w:rsid w:val="00E31738"/>
    <w:rsid w:val="00E372F7"/>
    <w:rsid w:val="00E516D0"/>
    <w:rsid w:val="00E8192E"/>
    <w:rsid w:val="00E86786"/>
    <w:rsid w:val="00E9040C"/>
    <w:rsid w:val="00E93D24"/>
    <w:rsid w:val="00EC5A0B"/>
    <w:rsid w:val="00ED2F80"/>
    <w:rsid w:val="00F1624E"/>
    <w:rsid w:val="00F2497C"/>
    <w:rsid w:val="00F32F8A"/>
    <w:rsid w:val="00F336FC"/>
    <w:rsid w:val="00F61028"/>
    <w:rsid w:val="00F62C84"/>
    <w:rsid w:val="00F642B7"/>
    <w:rsid w:val="00F66759"/>
    <w:rsid w:val="00F66970"/>
    <w:rsid w:val="00F810AA"/>
    <w:rsid w:val="00F82FCA"/>
    <w:rsid w:val="00F96CA5"/>
    <w:rsid w:val="00FA660D"/>
    <w:rsid w:val="00FB43EC"/>
    <w:rsid w:val="00FB6B40"/>
    <w:rsid w:val="00FC6E01"/>
    <w:rsid w:val="00FE2ACB"/>
    <w:rsid w:val="00FE3E0F"/>
    <w:rsid w:val="7AD547C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</w:pPr>
  </w:style>
  <w:style w:type="paragraph" w:styleId="4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</w:pPr>
  </w:style>
  <w:style w:type="paragraph" w:styleId="5">
    <w:name w:val="footnote text"/>
    <w:basedOn w:val="1"/>
    <w:link w:val="15"/>
    <w:unhideWhenUsed/>
    <w:qFormat/>
    <w:uiPriority w:val="99"/>
    <w:pPr>
      <w:snapToGrid w:val="0"/>
      <w:jc w:val="left"/>
    </w:pPr>
    <w:rPr>
      <w:rFonts w:ascii="Times New Roman" w:hAnsi="Times New Roman"/>
      <w:sz w:val="18"/>
      <w:szCs w:val="18"/>
    </w:rPr>
  </w:style>
  <w:style w:type="table" w:styleId="7">
    <w:name w:val="Table Grid"/>
    <w:basedOn w:val="6"/>
    <w:qFormat/>
    <w:uiPriority w:val="0"/>
    <w:pPr>
      <w:numPr>
        <w:numId w:val="1"/>
      </w:numPr>
      <w:ind w:firstLine="0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annotation reference"/>
    <w:basedOn w:val="8"/>
    <w:unhideWhenUsed/>
    <w:qFormat/>
    <w:uiPriority w:val="99"/>
    <w:rPr>
      <w:sz w:val="21"/>
      <w:szCs w:val="21"/>
    </w:rPr>
  </w:style>
  <w:style w:type="character" w:styleId="11">
    <w:name w:val="footnote reference"/>
    <w:unhideWhenUsed/>
    <w:qFormat/>
    <w:uiPriority w:val="0"/>
    <w:rPr>
      <w:vertAlign w:val="superscript"/>
    </w:rPr>
  </w:style>
  <w:style w:type="character" w:customStyle="1" w:styleId="12">
    <w:name w:val="Header Char"/>
    <w:basedOn w:val="8"/>
    <w:link w:val="4"/>
    <w:qFormat/>
    <w:uiPriority w:val="99"/>
    <w:rPr>
      <w:rFonts w:ascii="Calibri" w:hAnsi="Calibri" w:eastAsia="宋体" w:cs="Times New Roman"/>
    </w:rPr>
  </w:style>
  <w:style w:type="character" w:customStyle="1" w:styleId="13">
    <w:name w:val="Footer Char"/>
    <w:basedOn w:val="8"/>
    <w:link w:val="3"/>
    <w:qFormat/>
    <w:uiPriority w:val="99"/>
    <w:rPr>
      <w:rFonts w:ascii="Calibri" w:hAnsi="Calibri" w:eastAsia="宋体" w:cs="Times New Roman"/>
    </w:rPr>
  </w:style>
  <w:style w:type="character" w:customStyle="1" w:styleId="14">
    <w:name w:val="Balloon Text Char"/>
    <w:basedOn w:val="8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5">
    <w:name w:val="Footnote Text Char"/>
    <w:basedOn w:val="8"/>
    <w:link w:val="5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435</Words>
  <Characters>506</Characters>
  <Lines>33</Lines>
  <Paragraphs>26</Paragraphs>
  <TotalTime>2</TotalTime>
  <ScaleCrop>false</ScaleCrop>
  <LinksUpToDate>false</LinksUpToDate>
  <CharactersWithSpaces>915</CharactersWithSpaces>
  <Application>WPS Office_11.8.2.11653_F1E327BC-269C-435d-A152-05C5408002CA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2022-07-27T17:01:00Z</dcterms:created>
  <dcterms:modified xsi:type="dcterms:W3CDTF">2022-11-14T10:21:10Z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etDate">
    <vt:lpwstr>2022-04-27T03:12:02Z</vt:lpwstr>
  </property>
  <property fmtid="{D5CDD505-2E9C-101B-9397-08002B2CF9AE}" pid="4" name="MSIP_Label_42e67a54-274b-43d7-8098-b3ba5f50e576_Method">
    <vt:lpwstr>Standard</vt:lpwstr>
  </property>
  <property fmtid="{D5CDD505-2E9C-101B-9397-08002B2CF9AE}" pid="5" name="MSIP_Label_42e67a54-274b-43d7-8098-b3ba5f50e576_Name">
    <vt:lpwstr>42e67a54-274b-43d7-8098-b3ba5f50e576</vt:lpwstr>
  </property>
  <property fmtid="{D5CDD505-2E9C-101B-9397-08002B2CF9AE}" pid="6" name="MSIP_Label_42e67a54-274b-43d7-8098-b3ba5f50e576_SiteId">
    <vt:lpwstr>7f0b44d2-04f8-4672-bf5d-4676796468a3</vt:lpwstr>
  </property>
  <property fmtid="{D5CDD505-2E9C-101B-9397-08002B2CF9AE}" pid="7" name="MSIP_Label_42e67a54-274b-43d7-8098-b3ba5f50e576_ActionId">
    <vt:lpwstr>8d082ebb-4aaa-4f66-a2d1-23906e2aef0d</vt:lpwstr>
  </property>
  <property fmtid="{D5CDD505-2E9C-101B-9397-08002B2CF9AE}" pid="8" name="MSIP_Label_42e67a54-274b-43d7-8098-b3ba5f50e576_ContentBits">
    <vt:lpwstr>0</vt:lpwstr>
  </property>
  <property fmtid="{D5CDD505-2E9C-101B-9397-08002B2CF9AE}" pid="9" name="Client">
    <vt:lpwstr>0036831</vt:lpwstr>
  </property>
  <property fmtid="{D5CDD505-2E9C-101B-9397-08002B2CF9AE}" pid="10" name="Matter">
    <vt:lpwstr>0000055</vt:lpwstr>
  </property>
  <property fmtid="{D5CDD505-2E9C-101B-9397-08002B2CF9AE}" pid="11" name="cpDocRef">
    <vt:lpwstr>EUO3: 2009356939.1</vt:lpwstr>
  </property>
  <property fmtid="{D5CDD505-2E9C-101B-9397-08002B2CF9AE}" pid="12" name="cpClientMatter">
    <vt:lpwstr>0036831-0000055</vt:lpwstr>
  </property>
  <property fmtid="{D5CDD505-2E9C-101B-9397-08002B2CF9AE}" pid="13" name="cpCombinedRef">
    <vt:lpwstr>0036831-0000055 EUO3: 2009356939.1</vt:lpwstr>
  </property>
  <property fmtid="{D5CDD505-2E9C-101B-9397-08002B2CF9AE}" pid="14" name="KSOProductBuildVer">
    <vt:lpwstr>2052-11.8.2.11653</vt:lpwstr>
  </property>
  <property fmtid="{D5CDD505-2E9C-101B-9397-08002B2CF9AE}" pid="15" name="ICV">
    <vt:lpwstr>D230A81D03B03B1216A671631821AD43</vt:lpwstr>
  </property>
</Properties>
</file>