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ascii="黑体" w:hAnsi="黑体" w:eastAsia="黑体" w:cs="黑体"/>
          <w:bCs/>
          <w:kern w:val="0"/>
          <w:sz w:val="36"/>
          <w:szCs w:val="36"/>
          <w:lang w:val="en-GB" w:bidi="ar-AE"/>
        </w:rPr>
      </w:pPr>
      <w:r>
        <w:rPr>
          <w:rFonts w:hint="eastAsia" w:ascii="黑体" w:hAnsi="黑体" w:eastAsia="黑体" w:cs="黑体"/>
          <w:bCs/>
          <w:kern w:val="0"/>
          <w:sz w:val="36"/>
          <w:szCs w:val="36"/>
          <w:lang w:val="en-GB" w:bidi="ar-AE"/>
        </w:rPr>
        <w:t>经营者集中简易案件公示表</w:t>
      </w:r>
    </w:p>
    <w:tbl>
      <w:tblPr>
        <w:tblStyle w:val="7"/>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eastAsia="en-GB" w:bidi="ar-AE"/>
              </w:rPr>
            </w:pPr>
            <w:r>
              <w:rPr>
                <w:rFonts w:hint="eastAsia" w:ascii="宋体" w:hAnsi="宋体" w:eastAsia="宋体" w:cs="宋体"/>
                <w:bCs/>
                <w:color w:val="000000"/>
                <w:kern w:val="0"/>
                <w:sz w:val="24"/>
                <w:szCs w:val="24"/>
                <w:lang w:val="en-GB" w:eastAsia="en-GB" w:bidi="ar-AE"/>
              </w:rPr>
              <w:t>案件名称</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中金资本运营有限公司与陕西榆林能源集团有限公司新设合营企业案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交易概况（限200字内）</w:t>
            </w:r>
          </w:p>
        </w:tc>
        <w:tc>
          <w:tcPr>
            <w:tcW w:w="7700" w:type="dxa"/>
            <w:gridSpan w:val="2"/>
            <w:vAlign w:val="center"/>
          </w:tcPr>
          <w:p>
            <w:pPr>
              <w:adjustRightInd w:val="0"/>
              <w:snapToGrid w:val="0"/>
              <w:rPr>
                <w:rFonts w:ascii="Times New Roman" w:hAnsi="Times New Roman" w:eastAsia="宋体" w:cs="宋体"/>
                <w:kern w:val="0"/>
                <w:sz w:val="24"/>
                <w:szCs w:val="24"/>
                <w:lang w:bidi="ar-AE"/>
              </w:rPr>
            </w:pPr>
            <w:r>
              <w:rPr>
                <w:rFonts w:hint="eastAsia" w:ascii="Times New Roman" w:hAnsi="Times New Roman" w:eastAsia="宋体" w:cs="宋体"/>
                <w:bCs/>
                <w:color w:val="000000"/>
                <w:kern w:val="0"/>
                <w:sz w:val="24"/>
                <w:szCs w:val="24"/>
                <w:lang w:bidi="ar-AE"/>
              </w:rPr>
              <w:t>中金资本运营有限公司</w:t>
            </w:r>
            <w:r>
              <w:rPr>
                <w:rFonts w:hint="eastAsia" w:ascii="Times New Roman" w:hAnsi="Times New Roman" w:eastAsia="宋体" w:cs="宋体"/>
                <w:kern w:val="0"/>
                <w:sz w:val="24"/>
                <w:szCs w:val="24"/>
                <w:lang w:bidi="ar-AE"/>
              </w:rPr>
              <w:t>（以下简称“</w:t>
            </w:r>
            <w:r>
              <w:rPr>
                <w:rFonts w:hint="eastAsia" w:ascii="Times New Roman" w:hAnsi="Times New Roman" w:eastAsia="宋体" w:cs="宋体"/>
                <w:bCs/>
                <w:color w:val="000000"/>
                <w:kern w:val="0"/>
                <w:sz w:val="24"/>
                <w:szCs w:val="24"/>
                <w:lang w:bidi="ar-AE"/>
              </w:rPr>
              <w:t>中金资本</w:t>
            </w:r>
            <w:r>
              <w:rPr>
                <w:rFonts w:hint="eastAsia" w:ascii="Times New Roman" w:hAnsi="Times New Roman" w:eastAsia="宋体" w:cs="宋体"/>
                <w:kern w:val="0"/>
                <w:sz w:val="24"/>
                <w:szCs w:val="24"/>
                <w:lang w:bidi="ar-AE"/>
              </w:rPr>
              <w:t>”）、</w:t>
            </w:r>
            <w:r>
              <w:rPr>
                <w:rFonts w:hint="eastAsia" w:ascii="Times New Roman" w:hAnsi="Times New Roman" w:eastAsia="宋体" w:cs="宋体"/>
                <w:bCs/>
                <w:color w:val="000000"/>
                <w:kern w:val="0"/>
                <w:sz w:val="24"/>
                <w:szCs w:val="24"/>
                <w:lang w:bidi="ar-AE"/>
              </w:rPr>
              <w:t>陕西榆林能源集团有限公司</w:t>
            </w:r>
            <w:r>
              <w:rPr>
                <w:rFonts w:hint="eastAsia" w:ascii="Times New Roman" w:hAnsi="Times New Roman" w:eastAsia="宋体" w:cs="宋体"/>
                <w:kern w:val="0"/>
                <w:sz w:val="24"/>
                <w:szCs w:val="24"/>
                <w:lang w:bidi="ar-AE"/>
              </w:rPr>
              <w:t>（以下简称“榆能集团”）拟共同出资设立一家合营企业</w:t>
            </w:r>
            <w:r>
              <w:rPr>
                <w:rFonts w:hint="eastAsia" w:ascii="Times New Roman" w:hAnsi="Times New Roman" w:eastAsia="宋体" w:cs="宋体"/>
                <w:kern w:val="0"/>
                <w:sz w:val="24"/>
                <w:szCs w:val="24"/>
                <w:lang w:val="en-GB" w:bidi="ar-AE"/>
              </w:rPr>
              <w:t>（以下简称“</w:t>
            </w:r>
            <w:r>
              <w:rPr>
                <w:rFonts w:hint="eastAsia" w:ascii="Times New Roman" w:hAnsi="Times New Roman" w:eastAsia="宋体" w:cs="宋体"/>
                <w:bCs/>
                <w:kern w:val="0"/>
                <w:sz w:val="24"/>
                <w:szCs w:val="24"/>
                <w:lang w:val="en-GB" w:bidi="ar-AE"/>
              </w:rPr>
              <w:t>合营企业</w:t>
            </w:r>
            <w:r>
              <w:rPr>
                <w:rFonts w:hint="eastAsia" w:ascii="Times New Roman" w:hAnsi="Times New Roman" w:eastAsia="宋体" w:cs="宋体"/>
                <w:kern w:val="0"/>
                <w:sz w:val="24"/>
                <w:szCs w:val="24"/>
                <w:lang w:val="en-GB" w:bidi="ar-AE"/>
              </w:rPr>
              <w:t>”）</w:t>
            </w:r>
            <w:r>
              <w:rPr>
                <w:rFonts w:hint="eastAsia" w:ascii="Times New Roman" w:hAnsi="Times New Roman" w:eastAsia="宋体" w:cs="宋体"/>
                <w:kern w:val="0"/>
                <w:sz w:val="24"/>
                <w:szCs w:val="24"/>
                <w:lang w:bidi="ar-AE"/>
              </w:rPr>
              <w:t>。中金</w:t>
            </w:r>
            <w:r>
              <w:rPr>
                <w:rFonts w:hint="eastAsia" w:ascii="Times New Roman" w:hAnsi="Times New Roman" w:eastAsia="宋体" w:cs="宋体"/>
                <w:bCs/>
                <w:color w:val="000000"/>
                <w:kern w:val="0"/>
                <w:sz w:val="24"/>
                <w:szCs w:val="24"/>
                <w:lang w:bidi="ar-AE"/>
              </w:rPr>
              <w:t>资本</w:t>
            </w:r>
            <w:r>
              <w:rPr>
                <w:rFonts w:hint="eastAsia" w:ascii="Times New Roman" w:hAnsi="Times New Roman" w:eastAsia="宋体" w:cs="宋体"/>
                <w:kern w:val="0"/>
                <w:sz w:val="24"/>
                <w:szCs w:val="24"/>
                <w:lang w:bidi="ar-AE"/>
              </w:rPr>
              <w:t>、榆能集团将分别持有合营企业</w:t>
            </w:r>
            <w:r>
              <w:rPr>
                <w:rFonts w:ascii="Times New Roman" w:hAnsi="Times New Roman" w:eastAsia="宋体" w:cs="宋体"/>
                <w:kern w:val="0"/>
                <w:sz w:val="24"/>
                <w:szCs w:val="24"/>
                <w:lang w:bidi="ar-AE"/>
              </w:rPr>
              <w:t>1%</w:t>
            </w:r>
            <w:r>
              <w:rPr>
                <w:rFonts w:hint="eastAsia" w:ascii="Times New Roman" w:hAnsi="Times New Roman" w:eastAsia="宋体" w:cs="宋体"/>
                <w:kern w:val="0"/>
                <w:sz w:val="24"/>
                <w:szCs w:val="24"/>
                <w:lang w:bidi="ar-AE"/>
              </w:rPr>
              <w:t>、</w:t>
            </w:r>
            <w:r>
              <w:rPr>
                <w:rFonts w:ascii="Times New Roman" w:hAnsi="Times New Roman" w:eastAsia="宋体" w:cs="宋体"/>
                <w:kern w:val="0"/>
                <w:sz w:val="24"/>
                <w:szCs w:val="24"/>
                <w:lang w:bidi="ar-AE"/>
              </w:rPr>
              <w:t>99%</w:t>
            </w:r>
            <w:r>
              <w:rPr>
                <w:rFonts w:hint="eastAsia" w:ascii="Times New Roman" w:hAnsi="Times New Roman" w:eastAsia="宋体" w:cs="宋体"/>
                <w:kern w:val="0"/>
                <w:sz w:val="24"/>
                <w:szCs w:val="24"/>
                <w:lang w:bidi="ar-AE"/>
              </w:rPr>
              <w:t>的合伙份额，本交易后中金</w:t>
            </w:r>
            <w:r>
              <w:rPr>
                <w:rFonts w:hint="eastAsia" w:ascii="Times New Roman" w:hAnsi="Times New Roman" w:eastAsia="宋体" w:cs="宋体"/>
                <w:bCs/>
                <w:color w:val="000000"/>
                <w:kern w:val="0"/>
                <w:sz w:val="24"/>
                <w:szCs w:val="24"/>
                <w:lang w:bidi="ar-AE"/>
              </w:rPr>
              <w:t>资本</w:t>
            </w:r>
            <w:r>
              <w:rPr>
                <w:rFonts w:hint="eastAsia" w:ascii="Times New Roman" w:hAnsi="Times New Roman" w:eastAsia="宋体" w:cs="宋体"/>
                <w:kern w:val="0"/>
                <w:sz w:val="24"/>
                <w:szCs w:val="24"/>
                <w:lang w:bidi="ar-AE"/>
              </w:rPr>
              <w:t>与榆能集团将共同控制该合营企业。合营企业拟主要从事中国境内私募股权投资基金业务。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参与集中的经营者简介（每个限</w:t>
            </w:r>
            <w:r>
              <w:rPr>
                <w:rFonts w:hint="eastAsia" w:ascii="宋体" w:hAnsi="宋体" w:eastAsia="宋体" w:cs="宋体"/>
                <w:bCs/>
                <w:color w:val="000000"/>
                <w:kern w:val="0"/>
                <w:sz w:val="24"/>
                <w:szCs w:val="24"/>
                <w:lang w:bidi="ar-AE"/>
              </w:rPr>
              <w:t>100字以内</w:t>
            </w:r>
            <w:r>
              <w:rPr>
                <w:rFonts w:hint="eastAsia" w:ascii="宋体" w:hAnsi="宋体" w:eastAsia="宋体" w:cs="宋体"/>
                <w:bCs/>
                <w:color w:val="000000"/>
                <w:kern w:val="0"/>
                <w:sz w:val="24"/>
                <w:szCs w:val="24"/>
                <w:lang w:val="en-GB" w:bidi="ar-AE"/>
              </w:rPr>
              <w:t>）</w:t>
            </w:r>
          </w:p>
        </w:tc>
        <w:tc>
          <w:tcPr>
            <w:tcW w:w="1607" w:type="dxa"/>
            <w:vAlign w:val="center"/>
          </w:tcPr>
          <w:p>
            <w:pPr>
              <w:widowControl/>
              <w:adjustRightInd w:val="0"/>
              <w:snapToGrid w:val="0"/>
              <w:rPr>
                <w:rFonts w:ascii="宋体" w:hAnsi="宋体" w:eastAsia="宋体" w:cs="宋体"/>
                <w:bCs/>
                <w:color w:val="000000"/>
                <w:kern w:val="0"/>
                <w:sz w:val="24"/>
                <w:szCs w:val="24"/>
                <w:lang w:val="en-GB" w:bidi="ar-AE"/>
              </w:rPr>
            </w:pPr>
            <w:r>
              <w:rPr>
                <w:rFonts w:hint="eastAsia" w:ascii="宋体" w:hAnsi="宋体" w:eastAsia="宋体" w:cs="宋体"/>
                <w:bCs/>
                <w:color w:val="000000"/>
                <w:kern w:val="0"/>
                <w:sz w:val="24"/>
                <w:szCs w:val="24"/>
                <w:lang w:bidi="ar-AE"/>
              </w:rPr>
              <w:t>1.</w:t>
            </w:r>
            <w:r>
              <w:rPr>
                <w:rFonts w:hint="eastAsia" w:ascii="Times New Roman" w:hAnsi="Times New Roman" w:eastAsia="宋体" w:cs="Simplified Arabic"/>
                <w:kern w:val="0"/>
                <w:sz w:val="24"/>
                <w:szCs w:val="24"/>
                <w:lang w:val="en-GB" w:eastAsia="en-GB" w:bidi="ar-AE"/>
              </w:rPr>
              <w:t xml:space="preserve"> </w:t>
            </w:r>
            <w:r>
              <w:rPr>
                <w:rFonts w:hint="eastAsia" w:ascii="宋体" w:hAnsi="宋体" w:eastAsia="宋体" w:cs="宋体"/>
                <w:bCs/>
                <w:color w:val="000000"/>
                <w:kern w:val="0"/>
                <w:sz w:val="24"/>
                <w:szCs w:val="24"/>
                <w:lang w:val="en-GB" w:bidi="ar-AE"/>
              </w:rPr>
              <w:t>中金资本</w:t>
            </w:r>
          </w:p>
        </w:tc>
        <w:tc>
          <w:tcPr>
            <w:tcW w:w="6093" w:type="dxa"/>
            <w:vAlign w:val="center"/>
          </w:tcPr>
          <w:p>
            <w:pPr>
              <w:widowControl/>
              <w:snapToGrid w:val="0"/>
              <w:jc w:val="left"/>
              <w:rPr>
                <w:rFonts w:ascii="宋体" w:hAnsi="宋体" w:eastAsia="宋体" w:cs="Times New Roman"/>
                <w:sz w:val="24"/>
                <w:szCs w:val="24"/>
              </w:rPr>
            </w:pPr>
            <w:r>
              <w:rPr>
                <w:rFonts w:hint="eastAsia" w:ascii="宋体" w:hAnsi="宋体" w:eastAsia="宋体" w:cs="Times New Roman"/>
                <w:sz w:val="24"/>
                <w:szCs w:val="24"/>
              </w:rPr>
              <w:t>中金资本于</w:t>
            </w:r>
            <w:r>
              <w:rPr>
                <w:rFonts w:ascii="宋体" w:hAnsi="宋体" w:eastAsia="宋体" w:cs="Times New Roman"/>
                <w:sz w:val="24"/>
                <w:szCs w:val="24"/>
              </w:rPr>
              <w:t>2017年3月6日成立于北京市，主要从事私募股权投资基金业务。</w:t>
            </w:r>
          </w:p>
          <w:p>
            <w:pPr>
              <w:widowControl/>
              <w:snapToGrid w:val="0"/>
              <w:jc w:val="left"/>
              <w:rPr>
                <w:rFonts w:ascii="宋体" w:hAnsi="宋体" w:eastAsia="宋体" w:cs="Times New Roman"/>
                <w:sz w:val="24"/>
                <w:szCs w:val="24"/>
              </w:rPr>
            </w:pPr>
            <w:r>
              <w:rPr>
                <w:rFonts w:hint="eastAsia" w:ascii="宋体" w:hAnsi="宋体" w:eastAsia="宋体" w:cs="Times New Roman"/>
                <w:sz w:val="24"/>
                <w:szCs w:val="24"/>
              </w:rPr>
              <w:t>中金资本最终控制人为中国国际金融股份有限公司，主要从事投资银行、证券服务等业务。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1607" w:type="dxa"/>
            <w:vAlign w:val="center"/>
          </w:tcPr>
          <w:p>
            <w:pPr>
              <w:widowControl/>
              <w:adjustRightInd w:val="0"/>
              <w:snapToGrid w:val="0"/>
              <w:rPr>
                <w:rFonts w:ascii="宋体" w:hAnsi="宋体" w:eastAsia="宋体" w:cs="宋体"/>
                <w:bCs/>
                <w:color w:val="000000"/>
                <w:kern w:val="0"/>
                <w:sz w:val="24"/>
                <w:szCs w:val="24"/>
                <w:lang w:bidi="ar-AE"/>
              </w:rPr>
            </w:pPr>
            <w:r>
              <w:rPr>
                <w:rFonts w:ascii="宋体" w:hAnsi="宋体" w:eastAsia="宋体" w:cs="宋体"/>
                <w:bCs/>
                <w:color w:val="000000"/>
                <w:kern w:val="0"/>
                <w:sz w:val="24"/>
                <w:szCs w:val="24"/>
                <w:lang w:bidi="ar-AE"/>
              </w:rPr>
              <w:t>2</w:t>
            </w:r>
            <w:r>
              <w:rPr>
                <w:rFonts w:hint="eastAsia" w:ascii="宋体" w:hAnsi="宋体" w:eastAsia="宋体" w:cs="宋体"/>
                <w:bCs/>
                <w:color w:val="000000"/>
                <w:kern w:val="0"/>
                <w:sz w:val="24"/>
                <w:szCs w:val="24"/>
                <w:lang w:bidi="ar-AE"/>
              </w:rPr>
              <w:t xml:space="preserve">. </w:t>
            </w:r>
            <w:r>
              <w:rPr>
                <w:rFonts w:hint="eastAsia" w:ascii="Times New Roman" w:hAnsi="Times New Roman" w:eastAsia="宋体" w:cs="宋体"/>
                <w:kern w:val="0"/>
                <w:sz w:val="24"/>
                <w:szCs w:val="24"/>
                <w:lang w:bidi="ar-AE"/>
              </w:rPr>
              <w:t>榆能集团</w:t>
            </w:r>
          </w:p>
        </w:tc>
        <w:tc>
          <w:tcPr>
            <w:tcW w:w="6093" w:type="dxa"/>
            <w:vAlign w:val="center"/>
          </w:tcPr>
          <w:p>
            <w:pPr>
              <w:widowControl/>
              <w:adjustRightInd w:val="0"/>
              <w:snapToGrid w:val="0"/>
              <w:rPr>
                <w:rFonts w:ascii="宋体" w:hAnsi="宋体" w:eastAsia="宋体" w:cs="宋体"/>
                <w:bCs/>
                <w:color w:val="000000"/>
                <w:kern w:val="0"/>
                <w:sz w:val="24"/>
                <w:szCs w:val="24"/>
                <w:lang w:bidi="ar-AE"/>
              </w:rPr>
            </w:pPr>
            <w:r>
              <w:rPr>
                <w:rFonts w:hint="eastAsia" w:ascii="Times New Roman" w:hAnsi="Times New Roman" w:eastAsia="宋体" w:cs="宋体"/>
                <w:kern w:val="0"/>
                <w:sz w:val="24"/>
                <w:szCs w:val="24"/>
                <w:lang w:bidi="ar-AE"/>
              </w:rPr>
              <w:t>榆能集团于</w:t>
            </w:r>
            <w:r>
              <w:rPr>
                <w:rFonts w:ascii="宋体" w:hAnsi="宋体" w:eastAsia="宋体" w:cs="宋体"/>
                <w:kern w:val="0"/>
                <w:sz w:val="24"/>
                <w:szCs w:val="24"/>
                <w:lang w:bidi="ar-AE"/>
              </w:rPr>
              <w:t>2012年8月3日</w:t>
            </w:r>
            <w:r>
              <w:rPr>
                <w:rFonts w:hint="eastAsia" w:ascii="宋体" w:hAnsi="宋体" w:eastAsia="宋体" w:cs="宋体"/>
                <w:bCs/>
                <w:color w:val="000000"/>
                <w:kern w:val="0"/>
                <w:sz w:val="24"/>
                <w:szCs w:val="24"/>
                <w:lang w:bidi="ar-AE"/>
              </w:rPr>
              <w:t>成立于陕西省榆林市，以煤炭开采、铁路运输与销售、火力发电、城区管网供热为主要业务，并逐步发展精细化工以及风电、光电、氢能等新能源板块。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简易案件理由（可以单选，也可以多选）</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FE"/>
            </w:r>
            <w:r>
              <w:rPr>
                <w:rFonts w:hint="eastAsia" w:ascii="宋体" w:hAnsi="宋体" w:eastAsia="宋体" w:cs="宋体"/>
                <w:bCs/>
                <w:color w:val="000000"/>
                <w:kern w:val="0"/>
                <w:sz w:val="24"/>
                <w:szCs w:val="24"/>
                <w:lang w:val="en-GB" w:bidi="ar-AE"/>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备注</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ascii="宋体" w:hAnsi="宋体" w:eastAsia="宋体" w:cs="宋体"/>
                <w:bCs/>
                <w:color w:val="000000"/>
                <w:kern w:val="0"/>
                <w:sz w:val="24"/>
                <w:szCs w:val="24"/>
                <w:lang w:bidi="ar-AE"/>
              </w:rPr>
              <w:t>2022</w:t>
            </w:r>
            <w:r>
              <w:rPr>
                <w:rFonts w:hint="eastAsia" w:ascii="宋体" w:hAnsi="宋体" w:eastAsia="宋体" w:cs="宋体"/>
                <w:bCs/>
                <w:color w:val="000000"/>
                <w:kern w:val="0"/>
                <w:sz w:val="24"/>
                <w:szCs w:val="24"/>
                <w:lang w:bidi="ar-AE"/>
              </w:rPr>
              <w:t>年</w:t>
            </w:r>
            <w:r>
              <w:rPr>
                <w:rFonts w:hint="eastAsia" w:ascii="宋体" w:hAnsi="宋体" w:eastAsia="宋体" w:cs="宋体"/>
                <w:bCs/>
                <w:color w:val="000000"/>
                <w:kern w:val="0"/>
                <w:sz w:val="24"/>
                <w:szCs w:val="24"/>
                <w:lang w:val="en-GB" w:bidi="ar-AE"/>
              </w:rPr>
              <w:t>中国境内</w:t>
            </w:r>
            <w:r>
              <w:rPr>
                <w:rFonts w:hint="eastAsia" w:ascii="宋体" w:hAnsi="宋体" w:eastAsia="宋体" w:cs="宋体"/>
                <w:bCs/>
                <w:color w:val="000000"/>
                <w:kern w:val="0"/>
                <w:sz w:val="24"/>
                <w:szCs w:val="24"/>
                <w:lang w:bidi="ar-AE"/>
              </w:rPr>
              <w:t>私募股权投资基金市场:</w:t>
            </w:r>
          </w:p>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中金资本：</w:t>
            </w:r>
            <w:r>
              <w:rPr>
                <w:rFonts w:ascii="宋体" w:hAnsi="宋体" w:eastAsia="宋体" w:cs="宋体"/>
                <w:bCs/>
                <w:color w:val="000000"/>
                <w:kern w:val="0"/>
                <w:sz w:val="24"/>
                <w:szCs w:val="24"/>
                <w:lang w:bidi="ar-AE"/>
              </w:rPr>
              <w:t>0-5%</w:t>
            </w:r>
            <w:r>
              <w:rPr>
                <w:rFonts w:hint="eastAsia" w:ascii="宋体" w:hAnsi="宋体" w:eastAsia="宋体" w:cs="宋体"/>
                <w:bCs/>
                <w:color w:val="000000"/>
                <w:kern w:val="0"/>
                <w:sz w:val="24"/>
                <w:szCs w:val="24"/>
                <w:lang w:bidi="ar-AE"/>
              </w:rPr>
              <w:t>。</w:t>
            </w:r>
            <w:bookmarkStart w:id="0" w:name="_GoBack"/>
            <w:bookmarkEnd w:id="0"/>
          </w:p>
        </w:tc>
      </w:tr>
    </w:tbl>
    <w:p>
      <w:pPr>
        <w:widowControl/>
        <w:adjustRightInd w:val="0"/>
        <w:snapToGrid w:val="0"/>
        <w:rPr>
          <w:rFonts w:ascii="Arial" w:hAnsi="Arial" w:eastAsia="楷体_GB2312" w:cs="Arial"/>
          <w:b/>
          <w:color w:val="000000"/>
          <w:kern w:val="0"/>
          <w:sz w:val="22"/>
          <w:lang w:val="en-GB" w:bidi="ar-AE"/>
        </w:rPr>
      </w:pPr>
    </w:p>
    <w:p>
      <w:pPr>
        <w:rPr>
          <w:lang w:val="en-GB"/>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等线">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1" w:usb1="080E0800" w:usb2="00000002" w:usb3="00000000" w:csb0="00040000"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Simplified Arabic">
    <w:altName w:val="Times New Roman"/>
    <w:panose1 w:val="00000000000000000000"/>
    <w:charset w:val="B2"/>
    <w:family w:val="roman"/>
    <w:pitch w:val="default"/>
    <w:sig w:usb0="00000000" w:usb1="00000000" w:usb2="00000008" w:usb3="00000000" w:csb0="0000004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
          </w:pPr>
        </w:p>
      </w:tc>
      <w:tc>
        <w:tcPr>
          <w:tcW w:w="3081" w:type="dxa"/>
        </w:tcPr>
        <w:p>
          <w:pPr>
            <w:pStyle w:val="4"/>
            <w:jc w:val="center"/>
            <w:rPr>
              <w:rStyle w:val="9"/>
              <w:rFonts w:cs="Times New Roman"/>
            </w:rPr>
          </w:pPr>
          <w:r>
            <w:rPr>
              <w:rStyle w:val="9"/>
              <w:rFonts w:cs="Times New Roman"/>
            </w:rPr>
            <w:t xml:space="preserve">- </w:t>
          </w:r>
          <w:r>
            <w:rPr>
              <w:rStyle w:val="9"/>
              <w:rFonts w:cs="Times New Roman"/>
            </w:rPr>
            <w:fldChar w:fldCharType="begin"/>
          </w:r>
          <w:r>
            <w:rPr>
              <w:rStyle w:val="9"/>
              <w:rFonts w:cs="Times New Roman"/>
            </w:rPr>
            <w:instrText xml:space="preserve"> PAGE   \* MERGEFORMAT </w:instrText>
          </w:r>
          <w:r>
            <w:rPr>
              <w:rStyle w:val="9"/>
              <w:rFonts w:cs="Times New Roman"/>
            </w:rPr>
            <w:fldChar w:fldCharType="separate"/>
          </w:r>
          <w:r>
            <w:rPr>
              <w:rStyle w:val="9"/>
              <w:rFonts w:cs="Times New Roman"/>
              <w:lang w:val="en-US"/>
            </w:rPr>
            <w:t>1</w:t>
          </w:r>
          <w:r>
            <w:rPr>
              <w:rStyle w:val="9"/>
              <w:rFonts w:cs="Times New Roman"/>
            </w:rPr>
            <w:fldChar w:fldCharType="end"/>
          </w:r>
          <w:r>
            <w:rPr>
              <w:rStyle w:val="9"/>
              <w:rFonts w:cs="Times New Roman"/>
            </w:rPr>
            <w:t xml:space="preserve"> -</w:t>
          </w:r>
        </w:p>
      </w:tc>
      <w:tc>
        <w:tcPr>
          <w:tcW w:w="3081" w:type="dxa"/>
        </w:tcPr>
        <w:p>
          <w:pPr>
            <w:pStyle w:val="12"/>
          </w:pPr>
        </w:p>
      </w:tc>
    </w:tr>
  </w:tbl>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311"/>
    <w:rsid w:val="00015747"/>
    <w:rsid w:val="00027223"/>
    <w:rsid w:val="00043DEF"/>
    <w:rsid w:val="0007237B"/>
    <w:rsid w:val="000C7440"/>
    <w:rsid w:val="000E179A"/>
    <w:rsid w:val="00114086"/>
    <w:rsid w:val="00141A00"/>
    <w:rsid w:val="00175295"/>
    <w:rsid w:val="001F6699"/>
    <w:rsid w:val="0021617F"/>
    <w:rsid w:val="00287449"/>
    <w:rsid w:val="002F3924"/>
    <w:rsid w:val="00314DFE"/>
    <w:rsid w:val="003159B1"/>
    <w:rsid w:val="00331CE4"/>
    <w:rsid w:val="003363B2"/>
    <w:rsid w:val="003C5852"/>
    <w:rsid w:val="003D0839"/>
    <w:rsid w:val="003E5868"/>
    <w:rsid w:val="004165CC"/>
    <w:rsid w:val="00442BC1"/>
    <w:rsid w:val="00480297"/>
    <w:rsid w:val="0049557E"/>
    <w:rsid w:val="004C42A0"/>
    <w:rsid w:val="005113B8"/>
    <w:rsid w:val="00537C31"/>
    <w:rsid w:val="00557364"/>
    <w:rsid w:val="005A799F"/>
    <w:rsid w:val="005E12C1"/>
    <w:rsid w:val="006A6973"/>
    <w:rsid w:val="006F5B46"/>
    <w:rsid w:val="0070352C"/>
    <w:rsid w:val="00730311"/>
    <w:rsid w:val="00745A64"/>
    <w:rsid w:val="007C4031"/>
    <w:rsid w:val="007C761D"/>
    <w:rsid w:val="007E3E19"/>
    <w:rsid w:val="007F3521"/>
    <w:rsid w:val="0080131B"/>
    <w:rsid w:val="0082305B"/>
    <w:rsid w:val="008C7DF7"/>
    <w:rsid w:val="008E5F31"/>
    <w:rsid w:val="009916F3"/>
    <w:rsid w:val="009A1994"/>
    <w:rsid w:val="009C10E1"/>
    <w:rsid w:val="009D70C9"/>
    <w:rsid w:val="00A170E1"/>
    <w:rsid w:val="00A41672"/>
    <w:rsid w:val="00A45856"/>
    <w:rsid w:val="00A532FF"/>
    <w:rsid w:val="00A60FD0"/>
    <w:rsid w:val="00A7600F"/>
    <w:rsid w:val="00AA056C"/>
    <w:rsid w:val="00AD04BD"/>
    <w:rsid w:val="00AD0B88"/>
    <w:rsid w:val="00AD5B42"/>
    <w:rsid w:val="00B3097D"/>
    <w:rsid w:val="00BD27CA"/>
    <w:rsid w:val="00C01B58"/>
    <w:rsid w:val="00C44DF2"/>
    <w:rsid w:val="00CD294A"/>
    <w:rsid w:val="00CE6270"/>
    <w:rsid w:val="00D41C03"/>
    <w:rsid w:val="00D4344B"/>
    <w:rsid w:val="00D73369"/>
    <w:rsid w:val="00D90EB5"/>
    <w:rsid w:val="00DA22CB"/>
    <w:rsid w:val="00DC4179"/>
    <w:rsid w:val="00DF40E0"/>
    <w:rsid w:val="00E341CD"/>
    <w:rsid w:val="00EB04F5"/>
    <w:rsid w:val="00F365CD"/>
    <w:rsid w:val="00F96383"/>
    <w:rsid w:val="00FC43AF"/>
    <w:rsid w:val="00FE7676"/>
    <w:rsid w:val="7EFF1EA6"/>
    <w:rsid w:val="FFDB7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character" w:styleId="9">
    <w:name w:val="page number"/>
    <w:qFormat/>
    <w:uiPriority w:val="0"/>
    <w:rPr>
      <w:rFonts w:ascii="Times New Roman" w:hAnsi="Times New Roman" w:eastAsia="宋体" w:cs="Simplified Arabic"/>
      <w:sz w:val="24"/>
      <w:szCs w:val="24"/>
      <w:lang w:val="en-GB" w:bidi="ar-AE"/>
    </w:rPr>
  </w:style>
  <w:style w:type="character" w:styleId="10">
    <w:name w:val="annotation reference"/>
    <w:basedOn w:val="8"/>
    <w:semiHidden/>
    <w:unhideWhenUsed/>
    <w:qFormat/>
    <w:uiPriority w:val="99"/>
    <w:rPr>
      <w:sz w:val="21"/>
      <w:szCs w:val="21"/>
    </w:rPr>
  </w:style>
  <w:style w:type="character" w:customStyle="1" w:styleId="11">
    <w:name w:val="页脚 Char"/>
    <w:basedOn w:val="8"/>
    <w:link w:val="4"/>
    <w:qFormat/>
    <w:uiPriority w:val="99"/>
    <w:rPr>
      <w:sz w:val="18"/>
      <w:szCs w:val="18"/>
    </w:rPr>
  </w:style>
  <w:style w:type="paragraph" w:customStyle="1" w:styleId="12">
    <w:name w:val="Footer Right"/>
    <w:basedOn w:val="4"/>
    <w:qFormat/>
    <w:uiPriority w:val="0"/>
    <w:pPr>
      <w:widowControl/>
      <w:tabs>
        <w:tab w:val="clear" w:pos="4153"/>
        <w:tab w:val="clear" w:pos="8306"/>
      </w:tabs>
      <w:snapToGrid/>
      <w:jc w:val="right"/>
    </w:pPr>
    <w:rPr>
      <w:rFonts w:ascii="Times New Roman" w:hAnsi="Times New Roman" w:eastAsia="宋体" w:cs="Times New Roman"/>
      <w:kern w:val="0"/>
      <w:sz w:val="16"/>
      <w:szCs w:val="16"/>
      <w:lang w:val="en-GB" w:bidi="he-IL"/>
    </w:rPr>
  </w:style>
  <w:style w:type="paragraph" w:customStyle="1" w:styleId="13">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4">
    <w:name w:val="页眉 Char"/>
    <w:basedOn w:val="8"/>
    <w:link w:val="5"/>
    <w:qFormat/>
    <w:uiPriority w:val="99"/>
    <w:rPr>
      <w:sz w:val="18"/>
      <w:szCs w:val="18"/>
    </w:rPr>
  </w:style>
  <w:style w:type="character" w:customStyle="1" w:styleId="15">
    <w:name w:val="批注文字 Char"/>
    <w:basedOn w:val="8"/>
    <w:link w:val="2"/>
    <w:semiHidden/>
    <w:qFormat/>
    <w:uiPriority w:val="99"/>
  </w:style>
  <w:style w:type="character" w:customStyle="1" w:styleId="16">
    <w:name w:val="批注主题 Char"/>
    <w:basedOn w:val="15"/>
    <w:link w:val="6"/>
    <w:semiHidden/>
    <w:qFormat/>
    <w:uiPriority w:val="99"/>
    <w:rPr>
      <w:b/>
      <w:bCs/>
    </w:rPr>
  </w:style>
  <w:style w:type="character" w:customStyle="1" w:styleId="17">
    <w:name w:val="批注框文本 Char"/>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114</Words>
  <Characters>650</Characters>
  <Lines>5</Lines>
  <Paragraphs>1</Paragraphs>
  <TotalTime>3</TotalTime>
  <ScaleCrop>false</ScaleCrop>
  <LinksUpToDate>false</LinksUpToDate>
  <CharactersWithSpaces>763</CharactersWithSpaces>
  <Application>WPS Office_11.8.2.11653_F1E327BC-269C-435d-A152-05C5408002CA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2023-03-10T22:07:00Z</dcterms:created>
  <dc:creator>Jingya Tang (CCM)</dc:creator>
  <cp:lastModifiedBy>oa</cp:lastModifiedBy>
  <dcterms:modified xsi:type="dcterms:W3CDTF">2023-03-15T11:07:37Z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2052-11.8.2.11653</vt:lpwstr>
  </property>
  <property fmtid="{D5CDD505-2E9C-101B-9397-08002B2CF9AE}" pid="3" name="ICV">
    <vt:lpwstr>0B5B63D71C3BC9E375351164FA27D760</vt:lpwstr>
  </property>
</Properties>
</file>