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黑体"/>
          <w:sz w:val="36"/>
          <w:szCs w:val="36"/>
        </w:rPr>
      </w:pPr>
      <w:r>
        <w:rPr>
          <w:rFonts w:hint="eastAsia" w:ascii="Times New Roman" w:hAnsi="Times New Roman" w:eastAsia="黑体"/>
          <w:sz w:val="36"/>
          <w:szCs w:val="36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4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Optiver PSI B.V.与CoLift有限责任公司等经营者收购</w:t>
            </w: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Traxys S.à.r.l.</w:t>
            </w: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交易概况</w:t>
            </w:r>
          </w:p>
          <w:p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Traxys Management Holdings Limited（“</w:t>
            </w: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TMHL</w:t>
            </w: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”）、Optiver PSI B.V.（“</w:t>
            </w: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Optiver</w:t>
            </w: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”）、CoLift LLC（“</w:t>
            </w: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CoLift</w:t>
            </w: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”）和由Donald &amp; Co. Limited（“</w:t>
            </w: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D&amp;Co</w:t>
            </w: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”）主导的投资集团共同收购Traxys S.à.r.l.（“</w:t>
            </w: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Traxys</w:t>
            </w: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”）的全部股权。Traxys主要从事基本金属、炼钢和铸钢材料以及工业矿物的现货贸易业务。本次交易前，Traxys的股权由TMHL、</w:t>
            </w: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The Carlyle Group L.P. (“</w:t>
            </w: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凯雷</w:t>
            </w: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”)</w:t>
            </w: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和Louis M. Bacon最终管理的基金持有，由凯雷单独控制。交易后，Optiver、Colift、TMHL和D&amp;Co将分别持有Traxys的41.33%、21.47%、19.83%和17.37%股权，共同控制Traxys。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参与集中的</w:t>
            </w:r>
          </w:p>
          <w:p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经营者简介</w:t>
            </w:r>
          </w:p>
        </w:tc>
        <w:tc>
          <w:tcPr>
            <w:tcW w:w="1796" w:type="dxa"/>
          </w:tcPr>
          <w:p>
            <w:pP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1、C</w:t>
            </w: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oLift</w:t>
            </w:r>
          </w:p>
        </w:tc>
        <w:tc>
          <w:tcPr>
            <w:tcW w:w="5153" w:type="dxa"/>
          </w:tcPr>
          <w:p>
            <w:pP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CoLift于2019年10月29日在美国成立，主要投资可持续发展公司。CoLift主要业务为对行业优质企业进行差异化投资。CoLift由Alec Machiels最终控制。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96" w:type="dxa"/>
          </w:tcPr>
          <w:p>
            <w:pP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2、Traxy</w:t>
            </w: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  <w:tc>
          <w:tcPr>
            <w:tcW w:w="5153" w:type="dxa"/>
          </w:tcPr>
          <w:p>
            <w:pP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Traxys于2</w:t>
            </w: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004</w:t>
            </w: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年2月1</w:t>
            </w: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日在开曼群岛成立，主要从事基本金属、炼钢和铸钢材料以及工业矿物（合称“原材料”）的现货贸易业务。具体来说，Traxys主要从事原材料的采购和销售并提供配套服务。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96" w:type="dxa"/>
          </w:tcPr>
          <w:p>
            <w:pP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Op</w:t>
            </w: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tiver</w:t>
            </w:r>
          </w:p>
        </w:tc>
        <w:tc>
          <w:tcPr>
            <w:tcW w:w="5153" w:type="dxa"/>
          </w:tcPr>
          <w:p>
            <w:pP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Optiver于2022年3月3日在荷兰成立，是一家全球做市商。O</w:t>
            </w: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ptiver</w:t>
            </w: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在全球多个交易所提供各种金融工具的流动性资金。此外，Optiver使用自己的资本，向与其有战略相关性的业务进行投资。Optiver由Optiver Holding B.V.最终控制。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96" w:type="dxa"/>
          </w:tcPr>
          <w:p>
            <w:pP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&amp;Co</w:t>
            </w:r>
          </w:p>
        </w:tc>
        <w:tc>
          <w:tcPr>
            <w:tcW w:w="5153" w:type="dxa"/>
          </w:tcPr>
          <w:p>
            <w:pP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D&amp;Co于2012年3月30日在百慕大成立。D&amp;Co的主要业务是作为名义持有人持有和登记其母公司Global Custody &amp; Clearing Limited的特定客户资产，其大部分客户位于百慕大、开曼群岛和巴哈马群岛。D&amp;Co最终由</w:t>
            </w: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LOM Financial Limited</w:t>
            </w: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96" w:type="dxa"/>
          </w:tcPr>
          <w:p>
            <w:pP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.TMHL</w:t>
            </w:r>
          </w:p>
        </w:tc>
        <w:tc>
          <w:tcPr>
            <w:tcW w:w="5153" w:type="dxa"/>
          </w:tcPr>
          <w:p>
            <w:pP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TMHL于2014年6月19日在开曼群岛成立，除持有Traxys股份外，TMHL不开展任何业务活动。TMHL没有最终控制人。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sym w:font="Wingdings 2" w:char="F052"/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混合集中：</w:t>
            </w:r>
          </w:p>
          <w:p>
            <w:pP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021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年全球基本金属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批发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市场</w:t>
            </w:r>
          </w:p>
          <w:p>
            <w:pP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Traxys</w:t>
            </w:r>
            <w: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:[0-5]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%</w:t>
            </w:r>
            <w:bookmarkStart w:id="0" w:name="_GoBack"/>
            <w:bookmarkEnd w:id="0"/>
          </w:p>
          <w:p>
            <w:pP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021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年全球炼钢和铸钢材料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批发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市场</w:t>
            </w:r>
          </w:p>
          <w:p>
            <w:pP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Traxys</w:t>
            </w:r>
            <w: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:[0-5]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  <w:p>
            <w:pP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021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年全球工业矿物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批发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市场</w:t>
            </w:r>
          </w:p>
          <w:p>
            <w:pP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Traxys</w:t>
            </w:r>
            <w: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:[0-5]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  <w:p>
            <w:pP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/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6"/>
      </w:rPr>
      <w:id w:val="1571849069"/>
      <w:docPartObj>
        <w:docPartGallery w:val="autotext"/>
      </w:docPartObj>
    </w:sdtPr>
    <w:sdtEndPr>
      <w:rPr>
        <w:rStyle w:val="6"/>
      </w:rPr>
    </w:sdtEndPr>
    <w:sdtContent>
      <w:p>
        <w:pPr>
          <w:pStyle w:val="2"/>
          <w:framePr w:wrap="auto" w:vAnchor="text" w:hAnchor="margin" w:xAlign="center" w:y="1"/>
          <w:rPr>
            <w:rStyle w:val="6"/>
          </w:rPr>
        </w:pPr>
        <w:r>
          <w:rPr>
            <w:rStyle w:val="6"/>
          </w:rPr>
          <w:fldChar w:fldCharType="begin"/>
        </w:r>
        <w:r>
          <w:rPr>
            <w:rStyle w:val="6"/>
          </w:rPr>
          <w:instrText xml:space="preserve"> PAGE </w:instrText>
        </w:r>
        <w:r>
          <w:rPr>
            <w:rStyle w:val="6"/>
          </w:rPr>
          <w:fldChar w:fldCharType="separate"/>
        </w:r>
        <w:r>
          <w:rPr>
            <w:rStyle w:val="6"/>
          </w:rPr>
          <w:t>1</w:t>
        </w:r>
        <w:r>
          <w:rPr>
            <w:rStyle w:val="6"/>
          </w:rPr>
          <w:fldChar w:fldCharType="end"/>
        </w:r>
      </w:p>
    </w:sdtContent>
  </w:sdt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6"/>
      </w:rPr>
      <w:id w:val="-1606425249"/>
      <w:docPartObj>
        <w:docPartGallery w:val="autotext"/>
      </w:docPartObj>
    </w:sdtPr>
    <w:sdtEndPr>
      <w:rPr>
        <w:rStyle w:val="6"/>
      </w:rPr>
    </w:sdtEndPr>
    <w:sdtContent>
      <w:p>
        <w:pPr>
          <w:pStyle w:val="2"/>
          <w:framePr w:wrap="auto" w:vAnchor="text" w:hAnchor="margin" w:xAlign="center" w:y="1"/>
          <w:rPr>
            <w:rStyle w:val="6"/>
          </w:rPr>
        </w:pPr>
        <w:r>
          <w:rPr>
            <w:rStyle w:val="6"/>
          </w:rPr>
          <w:fldChar w:fldCharType="begin"/>
        </w:r>
        <w:r>
          <w:rPr>
            <w:rStyle w:val="6"/>
          </w:rPr>
          <w:instrText xml:space="preserve"> PAGE </w:instrText>
        </w:r>
        <w:r>
          <w:rPr>
            <w:rStyle w:val="6"/>
          </w:rPr>
          <w:fldChar w:fldCharType="end"/>
        </w:r>
      </w:p>
    </w:sdtContent>
  </w:sdt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DFB908F"/>
    <w:rsid w:val="73F31EA0"/>
    <w:rsid w:val="F38BD27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semiHidden/>
    <w:unhideWhenUsed/>
    <w:qFormat/>
    <w:uiPriority w:val="99"/>
  </w:style>
  <w:style w:type="character" w:customStyle="1" w:styleId="7">
    <w:name w:val="Header Char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">
    <w:name w:val="Footer Char"/>
    <w:basedOn w:val="5"/>
    <w:link w:val="2"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9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Office_11.8.2.11653_F1E327BC-269C-435d-A152-05C5408002CA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oa</dc:creator>
  <cp:lastModifiedBy>oa</cp:lastModifiedBy>
  <dcterms:modified xsi:type="dcterms:W3CDTF">2023-03-29T14:55:41Z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2052-11.8.2.11653</vt:lpwstr>
  </property>
  <property fmtid="{D5CDD505-2E9C-101B-9397-08002B2CF9AE}" pid="3" name="ICV">
    <vt:lpwstr>F5F15C0C16DF6A09EDE023645AE5741B</vt:lpwstr>
  </property>
</Properties>
</file>