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sz w:val="36"/>
          <w:szCs w:val="36"/>
        </w:rPr>
      </w:pPr>
      <w:r>
        <w:rPr>
          <w:rFonts w:hint="eastAsia" w:ascii="黑体" w:hAnsi="黑体" w:eastAsia="黑体" w:cs="黑体"/>
          <w:bCs/>
          <w:sz w:val="36"/>
          <w:szCs w:val="36"/>
          <w:lang w:val="en-US" w:eastAsia="zh-CN"/>
        </w:rPr>
        <w:t xml:space="preserve"> </w:t>
      </w:r>
      <w:r>
        <w:rPr>
          <w:rFonts w:eastAsia="黑体"/>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746"/>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rPr>
            </w:pPr>
            <w:r>
              <w:rPr>
                <w:rFonts w:cs="Times New Roman"/>
                <w:bCs/>
                <w:color w:val="000000"/>
                <w:sz w:val="21"/>
                <w:szCs w:val="21"/>
              </w:rPr>
              <w:t>案件名称</w:t>
            </w:r>
          </w:p>
        </w:tc>
        <w:tc>
          <w:tcPr>
            <w:tcW w:w="7700" w:type="dxa"/>
            <w:gridSpan w:val="2"/>
            <w:noWrap w:val="0"/>
            <w:vAlign w:val="center"/>
          </w:tcPr>
          <w:p>
            <w:pPr>
              <w:widowControl w:val="0"/>
              <w:spacing w:after="0"/>
              <w:rPr>
                <w:bCs/>
                <w:color w:val="000000"/>
                <w:sz w:val="21"/>
                <w:szCs w:val="21"/>
                <w:lang w:val="en-US"/>
              </w:rPr>
            </w:pPr>
            <w:r>
              <w:rPr>
                <w:rFonts w:hint="eastAsia"/>
                <w:kern w:val="2"/>
                <w:sz w:val="21"/>
                <w:lang w:val="en-US" w:bidi="ar-SA"/>
              </w:rPr>
              <w:t>广州恒运企业集团股份有限公司与现代汽车氢燃料电池系统（广州）有限公司</w:t>
            </w:r>
            <w:r>
              <w:rPr>
                <w:kern w:val="2"/>
                <w:sz w:val="21"/>
                <w:lang w:val="en-US" w:bidi="ar-SA"/>
              </w:rPr>
              <w:t>等经营者</w:t>
            </w:r>
            <w:r>
              <w:rPr>
                <w:rFonts w:hint="eastAsia"/>
                <w:kern w:val="2"/>
                <w:sz w:val="21"/>
                <w:lang w:val="en-US" w:bidi="ar-SA"/>
              </w:rPr>
              <w:t>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交易概况（限200字内）</w:t>
            </w:r>
          </w:p>
        </w:tc>
        <w:tc>
          <w:tcPr>
            <w:tcW w:w="7700" w:type="dxa"/>
            <w:gridSpan w:val="2"/>
            <w:noWrap w:val="0"/>
            <w:vAlign w:val="center"/>
          </w:tcPr>
          <w:p>
            <w:pPr>
              <w:adjustRightInd w:val="0"/>
              <w:snapToGrid w:val="0"/>
              <w:spacing w:after="0"/>
              <w:rPr>
                <w:bCs/>
                <w:color w:val="000000"/>
                <w:sz w:val="21"/>
                <w:szCs w:val="21"/>
                <w:lang w:val="en-US"/>
              </w:rPr>
            </w:pPr>
            <w:r>
              <w:rPr>
                <w:rFonts w:hint="eastAsia"/>
                <w:bCs/>
                <w:color w:val="000000"/>
                <w:sz w:val="21"/>
                <w:szCs w:val="21"/>
                <w:lang w:val="en-US"/>
              </w:rPr>
              <w:t>广州恒运企业集团股份有限公司（“</w:t>
            </w:r>
            <w:r>
              <w:rPr>
                <w:rFonts w:hint="eastAsia"/>
                <w:b/>
                <w:color w:val="000000"/>
                <w:sz w:val="21"/>
                <w:szCs w:val="21"/>
                <w:lang w:val="en-US"/>
              </w:rPr>
              <w:t>恒运集团</w:t>
            </w:r>
            <w:r>
              <w:rPr>
                <w:rFonts w:hint="eastAsia"/>
                <w:bCs/>
                <w:color w:val="000000"/>
                <w:sz w:val="21"/>
                <w:szCs w:val="21"/>
                <w:lang w:val="en-US"/>
              </w:rPr>
              <w:t>”）与现代汽车氢燃料电池系统（广州）有限公司（“</w:t>
            </w:r>
            <w:r>
              <w:rPr>
                <w:b/>
                <w:color w:val="000000"/>
                <w:sz w:val="21"/>
                <w:szCs w:val="21"/>
                <w:lang w:val="en-US"/>
              </w:rPr>
              <w:t>HTWO广州</w:t>
            </w:r>
            <w:r>
              <w:rPr>
                <w:rFonts w:hint="eastAsia"/>
                <w:bCs/>
                <w:color w:val="000000"/>
                <w:sz w:val="21"/>
                <w:szCs w:val="21"/>
                <w:lang w:val="en-US"/>
              </w:rPr>
              <w:t>”）、广州开发区交通投资集团有限公司（“</w:t>
            </w:r>
            <w:r>
              <w:rPr>
                <w:rFonts w:hint="eastAsia"/>
                <w:b/>
                <w:color w:val="000000"/>
                <w:sz w:val="21"/>
                <w:szCs w:val="21"/>
                <w:lang w:val="en-US"/>
              </w:rPr>
              <w:t>交投集团</w:t>
            </w:r>
            <w:r>
              <w:rPr>
                <w:rFonts w:hint="eastAsia"/>
                <w:bCs/>
                <w:color w:val="000000"/>
                <w:sz w:val="21"/>
                <w:szCs w:val="21"/>
                <w:lang w:val="en-US"/>
              </w:rPr>
              <w:t>”）签署协议，新设</w:t>
            </w:r>
            <w:r>
              <w:rPr>
                <w:bCs/>
                <w:color w:val="000000"/>
                <w:sz w:val="21"/>
                <w:szCs w:val="21"/>
                <w:lang w:val="en-US"/>
              </w:rPr>
              <w:t>合营企业</w:t>
            </w:r>
            <w:r>
              <w:rPr>
                <w:rFonts w:hint="eastAsia"/>
                <w:bCs/>
                <w:color w:val="000000"/>
                <w:sz w:val="21"/>
                <w:szCs w:val="21"/>
                <w:lang w:val="en-US"/>
              </w:rPr>
              <w:t>。</w:t>
            </w:r>
          </w:p>
          <w:p>
            <w:pPr>
              <w:adjustRightInd w:val="0"/>
              <w:snapToGrid w:val="0"/>
              <w:spacing w:after="0"/>
              <w:rPr>
                <w:rFonts w:hint="eastAsia"/>
                <w:bCs/>
                <w:color w:val="000000"/>
                <w:sz w:val="21"/>
                <w:szCs w:val="21"/>
                <w:lang w:val="en-US"/>
              </w:rPr>
            </w:pPr>
            <w:r>
              <w:rPr>
                <w:rFonts w:hint="eastAsia"/>
                <w:bCs/>
                <w:color w:val="000000"/>
                <w:sz w:val="21"/>
                <w:szCs w:val="21"/>
                <w:lang w:val="en-US"/>
              </w:rPr>
              <w:t>交易后，恒运集团、</w:t>
            </w:r>
            <w:r>
              <w:rPr>
                <w:bCs/>
                <w:color w:val="000000"/>
                <w:sz w:val="21"/>
                <w:szCs w:val="21"/>
                <w:lang w:val="en-US"/>
              </w:rPr>
              <w:t>HTWO广州</w:t>
            </w:r>
            <w:r>
              <w:rPr>
                <w:rFonts w:hint="eastAsia"/>
                <w:bCs/>
                <w:color w:val="000000"/>
                <w:sz w:val="21"/>
                <w:szCs w:val="21"/>
                <w:lang w:val="en-US"/>
              </w:rPr>
              <w:t>及交投集团将分别持有合营企业</w:t>
            </w:r>
            <w:r>
              <w:rPr>
                <w:bCs/>
                <w:color w:val="000000"/>
                <w:sz w:val="21"/>
                <w:szCs w:val="21"/>
                <w:lang w:val="en-US"/>
              </w:rPr>
              <w:t>45.00</w:t>
            </w:r>
            <w:r>
              <w:rPr>
                <w:rFonts w:hint="eastAsia"/>
                <w:bCs/>
                <w:color w:val="000000"/>
                <w:sz w:val="21"/>
                <w:szCs w:val="21"/>
                <w:lang w:val="en-US"/>
              </w:rPr>
              <w:t>%、</w:t>
            </w:r>
            <w:r>
              <w:rPr>
                <w:bCs/>
                <w:color w:val="000000"/>
                <w:sz w:val="21"/>
                <w:szCs w:val="21"/>
                <w:lang w:val="en-US"/>
              </w:rPr>
              <w:t>45.00%</w:t>
            </w:r>
            <w:r>
              <w:rPr>
                <w:rFonts w:hint="eastAsia"/>
                <w:bCs/>
                <w:color w:val="000000"/>
                <w:sz w:val="21"/>
                <w:szCs w:val="21"/>
                <w:lang w:val="en-US"/>
              </w:rPr>
              <w:t>及</w:t>
            </w:r>
            <w:r>
              <w:rPr>
                <w:bCs/>
                <w:color w:val="000000"/>
                <w:sz w:val="21"/>
                <w:szCs w:val="21"/>
                <w:lang w:val="en-US"/>
              </w:rPr>
              <w:t>10.00%</w:t>
            </w:r>
            <w:r>
              <w:rPr>
                <w:rFonts w:hint="eastAsia"/>
                <w:bCs/>
                <w:color w:val="000000"/>
                <w:sz w:val="21"/>
                <w:szCs w:val="21"/>
                <w:lang w:val="en-US"/>
              </w:rPr>
              <w:t>的股份，恒运集团与</w:t>
            </w:r>
            <w:r>
              <w:rPr>
                <w:bCs/>
                <w:color w:val="000000"/>
                <w:sz w:val="21"/>
                <w:szCs w:val="21"/>
                <w:lang w:val="en-US"/>
              </w:rPr>
              <w:t>HTWO广州</w:t>
            </w:r>
            <w:r>
              <w:rPr>
                <w:rFonts w:hint="eastAsia"/>
                <w:bCs/>
                <w:color w:val="000000"/>
                <w:sz w:val="21"/>
                <w:szCs w:val="21"/>
                <w:lang w:val="en-US"/>
              </w:rPr>
              <w:t>将对合营企业</w:t>
            </w:r>
            <w:r>
              <w:rPr>
                <w:rFonts w:hint="eastAsia"/>
                <w:sz w:val="21"/>
                <w:szCs w:val="21"/>
                <w:lang w:val="en-US"/>
              </w:rPr>
              <w:t>实施共同控制</w:t>
            </w:r>
            <w:r>
              <w:rPr>
                <w:rFonts w:hint="eastAsia"/>
                <w:bCs/>
                <w:color w:val="000000"/>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参与集中的经营者简介（每个限</w:t>
            </w:r>
            <w:r>
              <w:rPr>
                <w:rFonts w:cs="Times New Roman"/>
                <w:bCs/>
                <w:color w:val="000000"/>
                <w:sz w:val="21"/>
                <w:szCs w:val="21"/>
                <w:lang w:val="en-US" w:eastAsia="zh-CN"/>
              </w:rPr>
              <w:t>100字以内</w:t>
            </w:r>
            <w:r>
              <w:rPr>
                <w:rFonts w:cs="Times New Roman"/>
                <w:bCs/>
                <w:color w:val="000000"/>
                <w:sz w:val="21"/>
                <w:szCs w:val="21"/>
                <w:lang w:eastAsia="zh-CN"/>
              </w:rPr>
              <w:t>）</w:t>
            </w:r>
          </w:p>
        </w:tc>
        <w:tc>
          <w:tcPr>
            <w:tcW w:w="1746" w:type="dxa"/>
            <w:noWrap w:val="0"/>
            <w:vAlign w:val="center"/>
          </w:tcPr>
          <w:p>
            <w:pPr>
              <w:pStyle w:val="3"/>
              <w:adjustRightInd w:val="0"/>
              <w:snapToGrid w:val="0"/>
              <w:spacing w:after="0"/>
              <w:rPr>
                <w:rFonts w:cs="Times New Roman"/>
                <w:bCs/>
                <w:color w:val="000000"/>
                <w:sz w:val="21"/>
                <w:szCs w:val="21"/>
                <w:lang w:eastAsia="zh-CN"/>
              </w:rPr>
            </w:pPr>
            <w:r>
              <w:rPr>
                <w:rFonts w:hint="eastAsia"/>
                <w:bCs/>
                <w:color w:val="000000"/>
                <w:sz w:val="21"/>
                <w:szCs w:val="21"/>
                <w:lang w:val="en-US" w:eastAsia="zh-CN"/>
              </w:rPr>
              <w:t>1</w:t>
            </w:r>
            <w:r>
              <w:rPr>
                <w:bCs/>
                <w:color w:val="000000"/>
                <w:sz w:val="21"/>
                <w:szCs w:val="21"/>
                <w:lang w:val="en-US" w:eastAsia="zh-CN"/>
              </w:rPr>
              <w:t xml:space="preserve">. </w:t>
            </w:r>
            <w:r>
              <w:rPr>
                <w:rFonts w:hint="eastAsia"/>
                <w:bCs/>
                <w:color w:val="000000"/>
                <w:sz w:val="21"/>
                <w:szCs w:val="21"/>
                <w:lang w:val="en-US" w:eastAsia="zh-CN"/>
              </w:rPr>
              <w:t>恒运集团</w:t>
            </w:r>
          </w:p>
        </w:tc>
        <w:tc>
          <w:tcPr>
            <w:tcW w:w="5954" w:type="dxa"/>
            <w:noWrap w:val="0"/>
            <w:vAlign w:val="center"/>
          </w:tcPr>
          <w:p>
            <w:pPr>
              <w:adjustRightInd w:val="0"/>
              <w:snapToGrid w:val="0"/>
              <w:spacing w:after="0"/>
              <w:rPr>
                <w:sz w:val="21"/>
                <w:szCs w:val="21"/>
                <w:lang w:val="en-US"/>
              </w:rPr>
            </w:pPr>
            <w:r>
              <w:rPr>
                <w:sz w:val="21"/>
                <w:szCs w:val="21"/>
                <w:lang w:val="en-US"/>
              </w:rPr>
              <w:t>恒运集团于</w:t>
            </w:r>
            <w:bookmarkStart w:id="0" w:name="_Hlk103865879"/>
            <w:r>
              <w:rPr>
                <w:sz w:val="21"/>
                <w:szCs w:val="21"/>
                <w:lang w:val="en-US"/>
              </w:rPr>
              <w:t>1992年11月30日</w:t>
            </w:r>
            <w:bookmarkEnd w:id="0"/>
            <w:r>
              <w:rPr>
                <w:sz w:val="21"/>
                <w:szCs w:val="21"/>
                <w:lang w:val="en-US"/>
              </w:rPr>
              <w:t>成立于广东省，为深圳证券交易所上市公司，主营清洁能源、新能源、金融及科技创新产业园区建设业务。</w:t>
            </w:r>
          </w:p>
          <w:p>
            <w:pPr>
              <w:adjustRightInd w:val="0"/>
              <w:snapToGrid w:val="0"/>
              <w:spacing w:after="0"/>
              <w:rPr>
                <w:rFonts w:hint="eastAsia" w:eastAsia="仿宋"/>
                <w:sz w:val="21"/>
                <w:szCs w:val="21"/>
              </w:rPr>
            </w:pPr>
            <w:r>
              <w:rPr>
                <w:sz w:val="21"/>
                <w:szCs w:val="21"/>
                <w:lang w:val="en-US"/>
              </w:rPr>
              <w:t>恒运集团最终控制人为广州开发区控股集团有限公司与广州高新区投资集团有限公司，</w:t>
            </w:r>
            <w:r>
              <w:rPr>
                <w:rFonts w:hint="eastAsia"/>
                <w:sz w:val="21"/>
                <w:szCs w:val="21"/>
                <w:lang w:val="en-US"/>
              </w:rPr>
              <w:t>前者主营</w:t>
            </w:r>
            <w:r>
              <w:rPr>
                <w:sz w:val="21"/>
                <w:szCs w:val="21"/>
                <w:lang w:val="en-US"/>
              </w:rPr>
              <w:t>科技金融服务、科技战略投资与科技价值园区</w:t>
            </w:r>
            <w:r>
              <w:rPr>
                <w:rFonts w:hint="eastAsia"/>
                <w:sz w:val="21"/>
                <w:szCs w:val="21"/>
                <w:lang w:val="en-US"/>
              </w:rPr>
              <w:t>业务，后者主营</w:t>
            </w:r>
            <w:r>
              <w:rPr>
                <w:sz w:val="21"/>
                <w:szCs w:val="21"/>
                <w:lang w:val="en-US"/>
              </w:rPr>
              <w:t>生物医药与健康产业。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1746" w:type="dxa"/>
            <w:noWrap w:val="0"/>
            <w:vAlign w:val="center"/>
          </w:tcPr>
          <w:p>
            <w:pPr>
              <w:pStyle w:val="3"/>
              <w:adjustRightInd w:val="0"/>
              <w:snapToGrid w:val="0"/>
              <w:spacing w:after="0"/>
              <w:rPr>
                <w:rFonts w:hint="eastAsia"/>
                <w:bCs/>
                <w:color w:val="000000"/>
                <w:sz w:val="21"/>
                <w:szCs w:val="21"/>
                <w:lang w:val="en-US" w:eastAsia="zh-CN"/>
              </w:rPr>
            </w:pPr>
            <w:r>
              <w:rPr>
                <w:rFonts w:hint="eastAsia"/>
                <w:bCs/>
                <w:color w:val="000000"/>
                <w:sz w:val="21"/>
                <w:szCs w:val="21"/>
                <w:lang w:val="en-US" w:eastAsia="zh-CN"/>
              </w:rPr>
              <w:t>2</w:t>
            </w:r>
            <w:r>
              <w:rPr>
                <w:bCs/>
                <w:color w:val="000000"/>
                <w:sz w:val="21"/>
                <w:szCs w:val="21"/>
                <w:lang w:val="en-US" w:eastAsia="zh-CN"/>
              </w:rPr>
              <w:t>. HTWO广州</w:t>
            </w:r>
          </w:p>
        </w:tc>
        <w:tc>
          <w:tcPr>
            <w:tcW w:w="5954" w:type="dxa"/>
            <w:noWrap w:val="0"/>
            <w:vAlign w:val="center"/>
          </w:tcPr>
          <w:p>
            <w:pPr>
              <w:widowControl w:val="0"/>
              <w:spacing w:after="0"/>
              <w:rPr>
                <w:kern w:val="2"/>
                <w:sz w:val="21"/>
                <w:lang w:val="en-US" w:bidi="ar-SA"/>
              </w:rPr>
            </w:pPr>
            <w:r>
              <w:rPr>
                <w:kern w:val="2"/>
                <w:sz w:val="21"/>
                <w:lang w:val="en-US" w:bidi="ar-SA"/>
              </w:rPr>
              <w:t>HTWO广州于2021</w:t>
            </w:r>
            <w:r>
              <w:rPr>
                <w:rFonts w:hint="eastAsia"/>
                <w:kern w:val="2"/>
                <w:sz w:val="21"/>
                <w:lang w:val="en-US" w:bidi="ar-SA"/>
              </w:rPr>
              <w:t>年</w:t>
            </w:r>
            <w:r>
              <w:rPr>
                <w:kern w:val="2"/>
                <w:sz w:val="21"/>
                <w:lang w:val="en-US" w:bidi="ar-SA"/>
              </w:rPr>
              <w:t>1</w:t>
            </w:r>
            <w:r>
              <w:rPr>
                <w:rFonts w:hint="eastAsia"/>
                <w:kern w:val="2"/>
                <w:sz w:val="21"/>
                <w:lang w:val="en-US" w:bidi="ar-SA"/>
              </w:rPr>
              <w:t>月</w:t>
            </w:r>
            <w:r>
              <w:rPr>
                <w:kern w:val="2"/>
                <w:sz w:val="21"/>
                <w:lang w:val="en-US" w:bidi="ar-SA"/>
              </w:rPr>
              <w:t>15日成立于</w:t>
            </w:r>
            <w:r>
              <w:rPr>
                <w:rFonts w:hint="eastAsia"/>
                <w:kern w:val="2"/>
                <w:sz w:val="21"/>
                <w:lang w:val="en-US" w:bidi="ar-SA"/>
              </w:rPr>
              <w:t>广东省</w:t>
            </w:r>
            <w:r>
              <w:rPr>
                <w:kern w:val="2"/>
                <w:sz w:val="21"/>
                <w:lang w:val="en-US" w:bidi="ar-SA"/>
              </w:rPr>
              <w:t>，</w:t>
            </w:r>
            <w:r>
              <w:rPr>
                <w:rFonts w:hint="eastAsia"/>
                <w:kern w:val="2"/>
                <w:sz w:val="21"/>
                <w:lang w:val="en-US" w:bidi="ar-SA"/>
              </w:rPr>
              <w:t>其主要业务为</w:t>
            </w:r>
            <w:r>
              <w:rPr>
                <w:kern w:val="2"/>
                <w:sz w:val="21"/>
                <w:lang w:val="en-US" w:bidi="ar-SA"/>
              </w:rPr>
              <w:t>氢燃料电池系统</w:t>
            </w:r>
            <w:r>
              <w:rPr>
                <w:rFonts w:hint="eastAsia"/>
                <w:kern w:val="2"/>
                <w:sz w:val="21"/>
                <w:lang w:val="en-US" w:bidi="ar-SA"/>
              </w:rPr>
              <w:t>销售</w:t>
            </w:r>
            <w:r>
              <w:rPr>
                <w:kern w:val="2"/>
                <w:sz w:val="21"/>
                <w:lang w:val="en-US" w:bidi="ar-SA"/>
              </w:rPr>
              <w:t>。</w:t>
            </w:r>
          </w:p>
          <w:p>
            <w:pPr>
              <w:widowControl w:val="0"/>
              <w:spacing w:after="0"/>
              <w:rPr>
                <w:bCs/>
                <w:color w:val="000000"/>
                <w:sz w:val="21"/>
                <w:szCs w:val="21"/>
              </w:rPr>
            </w:pPr>
            <w:r>
              <w:rPr>
                <w:kern w:val="2"/>
                <w:sz w:val="21"/>
                <w:lang w:val="en-US" w:bidi="ar-SA"/>
              </w:rPr>
              <w:t>HTWO广州最终控制人为</w:t>
            </w:r>
            <w:r>
              <w:rPr>
                <w:rFonts w:hint="eastAsia"/>
                <w:kern w:val="2"/>
                <w:sz w:val="21"/>
                <w:lang w:val="en-US" w:bidi="ar-SA"/>
              </w:rPr>
              <w:t>现代自动车株式会社</w:t>
            </w:r>
            <w:r>
              <w:rPr>
                <w:kern w:val="2"/>
                <w:sz w:val="21"/>
                <w:lang w:val="en-US" w:bidi="ar-SA"/>
              </w:rPr>
              <w:t>，</w:t>
            </w:r>
            <w:r>
              <w:rPr>
                <w:rFonts w:hint="eastAsia"/>
                <w:kern w:val="2"/>
                <w:sz w:val="21"/>
                <w:lang w:val="en-US" w:bidi="ar-SA"/>
              </w:rPr>
              <w:t>主要从事整车的制造与销售。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简易案件理由（可以单选，也可以多选）</w:t>
            </w: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F06F"/>
            </w:r>
            <w:r>
              <w:rPr>
                <w:rFonts w:cs="Times New Roman"/>
                <w:bCs/>
                <w:color w:val="000000"/>
                <w:sz w:val="21"/>
                <w:szCs w:val="21"/>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F06F"/>
            </w:r>
            <w:r>
              <w:rPr>
                <w:rFonts w:cs="Times New Roman"/>
                <w:bCs/>
                <w:color w:val="000000"/>
                <w:sz w:val="21"/>
                <w:szCs w:val="21"/>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FE"/>
            </w:r>
            <w:r>
              <w:rPr>
                <w:rFonts w:cs="Times New Roman"/>
                <w:bCs/>
                <w:color w:val="000000"/>
                <w:sz w:val="21"/>
                <w:szCs w:val="21"/>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val="en-US" w:eastAsia="zh-CN"/>
              </w:rPr>
              <w:t>备注</w:t>
            </w:r>
          </w:p>
        </w:tc>
        <w:tc>
          <w:tcPr>
            <w:tcW w:w="7700" w:type="dxa"/>
            <w:gridSpan w:val="2"/>
            <w:noWrap w:val="0"/>
            <w:vAlign w:val="center"/>
          </w:tcPr>
          <w:p>
            <w:pPr>
              <w:pStyle w:val="3"/>
              <w:adjustRightInd w:val="0"/>
              <w:snapToGrid w:val="0"/>
              <w:spacing w:after="0"/>
              <w:rPr>
                <w:rFonts w:cs="Times New Roman"/>
                <w:b/>
                <w:color w:val="000000"/>
                <w:sz w:val="21"/>
                <w:szCs w:val="21"/>
                <w:lang w:eastAsia="zh-CN"/>
              </w:rPr>
            </w:pPr>
            <w:r>
              <w:rPr>
                <w:rFonts w:hint="eastAsia" w:cs="Times New Roman"/>
                <w:b/>
                <w:color w:val="000000"/>
                <w:sz w:val="21"/>
                <w:szCs w:val="21"/>
                <w:lang w:eastAsia="zh-CN"/>
              </w:rPr>
              <w:t>混合集中</w:t>
            </w:r>
            <w:r>
              <w:rPr>
                <w:rFonts w:cs="Times New Roman"/>
                <w:b/>
                <w:color w:val="000000"/>
                <w:sz w:val="21"/>
                <w:szCs w:val="21"/>
                <w:lang w:eastAsia="zh-CN"/>
              </w:rPr>
              <w:t>：</w:t>
            </w:r>
          </w:p>
          <w:p>
            <w:pPr>
              <w:pStyle w:val="3"/>
              <w:adjustRightInd w:val="0"/>
              <w:snapToGrid w:val="0"/>
              <w:spacing w:after="0"/>
              <w:rPr>
                <w:rFonts w:hint="eastAsia" w:cs="Times New Roman"/>
                <w:b/>
                <w:color w:val="000000"/>
                <w:sz w:val="21"/>
                <w:szCs w:val="21"/>
                <w:lang w:eastAsia="zh-CN"/>
              </w:rPr>
            </w:pPr>
          </w:p>
          <w:tbl>
            <w:tblPr>
              <w:tblStyle w:val="4"/>
              <w:tblW w:w="75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2"/>
              <w:gridCol w:w="1559"/>
              <w:gridCol w:w="3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相关商品市场</w:t>
                  </w:r>
                </w:p>
              </w:tc>
              <w:tc>
                <w:tcPr>
                  <w:tcW w:w="155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相关地域市场</w:t>
                  </w:r>
                </w:p>
              </w:tc>
              <w:tc>
                <w:tcPr>
                  <w:tcW w:w="3325"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氢燃料电池系统</w:t>
                  </w:r>
                </w:p>
              </w:tc>
              <w:tc>
                <w:tcPr>
                  <w:tcW w:w="155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中国境内</w:t>
                  </w:r>
                </w:p>
              </w:tc>
              <w:tc>
                <w:tcPr>
                  <w:tcW w:w="3325" w:type="dxa"/>
                  <w:noWrap w:val="0"/>
                  <w:vAlign w:val="top"/>
                </w:tcPr>
                <w:p>
                  <w:pPr>
                    <w:adjustRightInd w:val="0"/>
                    <w:snapToGrid w:val="0"/>
                    <w:spacing w:after="0"/>
                    <w:jc w:val="center"/>
                    <w:rPr>
                      <w:color w:val="333333"/>
                      <w:sz w:val="21"/>
                      <w:szCs w:val="21"/>
                    </w:rPr>
                  </w:pPr>
                  <w:r>
                    <w:rPr>
                      <w:color w:val="333333"/>
                      <w:sz w:val="21"/>
                      <w:szCs w:val="21"/>
                    </w:rPr>
                    <w:t>HTWO广州</w:t>
                  </w:r>
                  <w:r>
                    <w:rPr>
                      <w:rFonts w:hint="eastAsia"/>
                      <w:color w:val="333333"/>
                      <w:sz w:val="21"/>
                      <w:szCs w:val="21"/>
                    </w:rPr>
                    <w:t>2</w:t>
                  </w:r>
                  <w:r>
                    <w:rPr>
                      <w:color w:val="333333"/>
                      <w:sz w:val="21"/>
                      <w:szCs w:val="21"/>
                    </w:rPr>
                    <w:t>023</w:t>
                  </w:r>
                  <w:r>
                    <w:rPr>
                      <w:rFonts w:hint="eastAsia"/>
                      <w:color w:val="333333"/>
                      <w:sz w:val="21"/>
                      <w:szCs w:val="21"/>
                    </w:rPr>
                    <w:t>年预估：0-</w:t>
                  </w:r>
                  <w:r>
                    <w:rPr>
                      <w:color w:val="333333"/>
                      <w:sz w:val="21"/>
                      <w:szCs w:val="21"/>
                    </w:rPr>
                    <w:t>5</w:t>
                  </w:r>
                  <w:r>
                    <w:rPr>
                      <w:rFonts w:hint="eastAsia"/>
                      <w:color w:val="333333"/>
                      <w:sz w:val="21"/>
                      <w:szCs w:val="21"/>
                    </w:rPr>
                    <w:t>%</w:t>
                  </w:r>
                </w:p>
                <w:p>
                  <w:pPr>
                    <w:adjustRightInd w:val="0"/>
                    <w:snapToGrid w:val="0"/>
                    <w:spacing w:after="0"/>
                    <w:jc w:val="center"/>
                    <w:rPr>
                      <w:rFonts w:hint="eastAsia"/>
                      <w:bCs/>
                      <w:color w:val="000000"/>
                      <w:sz w:val="21"/>
                      <w:szCs w:val="21"/>
                      <w:lang w:val="en-US"/>
                    </w:rPr>
                  </w:pPr>
                  <w:r>
                    <w:rPr>
                      <w:rFonts w:hint="eastAsia"/>
                      <w:color w:val="333333"/>
                      <w:sz w:val="21"/>
                      <w:szCs w:val="21"/>
                    </w:rPr>
                    <w:t>合营企业2</w:t>
                  </w:r>
                  <w:r>
                    <w:rPr>
                      <w:color w:val="333333"/>
                      <w:sz w:val="21"/>
                      <w:szCs w:val="21"/>
                    </w:rPr>
                    <w:t>023</w:t>
                  </w:r>
                  <w:r>
                    <w:rPr>
                      <w:rFonts w:hint="eastAsia"/>
                      <w:color w:val="333333"/>
                      <w:sz w:val="21"/>
                      <w:szCs w:val="21"/>
                    </w:rPr>
                    <w:t>年预估：5-</w:t>
                  </w:r>
                  <w:r>
                    <w:rPr>
                      <w:color w:val="333333"/>
                      <w:sz w:val="21"/>
                      <w:szCs w:val="21"/>
                    </w:rPr>
                    <w:t>10</w:t>
                  </w:r>
                  <w:r>
                    <w:rPr>
                      <w:rFonts w:hint="eastAsia"/>
                      <w:color w:val="333333"/>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bCs/>
                      <w:color w:val="000000"/>
                      <w:sz w:val="21"/>
                      <w:szCs w:val="21"/>
                      <w:lang w:val="en-US"/>
                    </w:rPr>
                  </w:pPr>
                  <w:r>
                    <w:rPr>
                      <w:rFonts w:hint="eastAsia"/>
                      <w:bCs/>
                      <w:color w:val="000000"/>
                      <w:sz w:val="21"/>
                      <w:szCs w:val="21"/>
                      <w:lang w:val="en-US"/>
                    </w:rPr>
                    <w:t>氢燃料电池双极板</w:t>
                  </w:r>
                </w:p>
              </w:tc>
              <w:tc>
                <w:tcPr>
                  <w:tcW w:w="155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中国境内</w:t>
                  </w:r>
                </w:p>
              </w:tc>
              <w:tc>
                <w:tcPr>
                  <w:tcW w:w="3325" w:type="dxa"/>
                  <w:noWrap w:val="0"/>
                  <w:vAlign w:val="top"/>
                </w:tcPr>
                <w:p>
                  <w:pPr>
                    <w:adjustRightInd w:val="0"/>
                    <w:snapToGrid w:val="0"/>
                    <w:spacing w:after="0"/>
                    <w:jc w:val="center"/>
                    <w:rPr>
                      <w:rFonts w:hint="eastAsia"/>
                      <w:bCs/>
                      <w:color w:val="000000"/>
                      <w:sz w:val="21"/>
                      <w:szCs w:val="21"/>
                      <w:lang w:val="en-US"/>
                    </w:rPr>
                  </w:pPr>
                  <w:r>
                    <w:rPr>
                      <w:rFonts w:hint="eastAsia"/>
                      <w:color w:val="333333"/>
                      <w:sz w:val="21"/>
                      <w:szCs w:val="21"/>
                    </w:rPr>
                    <w:t>合营企业2</w:t>
                  </w:r>
                  <w:r>
                    <w:rPr>
                      <w:color w:val="333333"/>
                      <w:sz w:val="21"/>
                      <w:szCs w:val="21"/>
                    </w:rPr>
                    <w:t>023</w:t>
                  </w:r>
                  <w:r>
                    <w:rPr>
                      <w:rFonts w:hint="eastAsia"/>
                      <w:color w:val="333333"/>
                      <w:sz w:val="21"/>
                      <w:szCs w:val="21"/>
                    </w:rPr>
                    <w:t>年预估：</w:t>
                  </w:r>
                  <w:r>
                    <w:rPr>
                      <w:color w:val="333333"/>
                      <w:sz w:val="21"/>
                      <w:szCs w:val="21"/>
                    </w:rPr>
                    <w:t>15</w:t>
                  </w:r>
                  <w:r>
                    <w:rPr>
                      <w:rFonts w:hint="eastAsia"/>
                      <w:color w:val="333333"/>
                      <w:sz w:val="21"/>
                      <w:szCs w:val="21"/>
                    </w:rPr>
                    <w:t>-</w:t>
                  </w:r>
                  <w:r>
                    <w:rPr>
                      <w:color w:val="333333"/>
                      <w:sz w:val="21"/>
                      <w:szCs w:val="21"/>
                    </w:rPr>
                    <w:t>20</w:t>
                  </w:r>
                  <w:r>
                    <w:rPr>
                      <w:rFonts w:hint="eastAsia"/>
                      <w:color w:val="333333"/>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rFonts w:hint="eastAsia"/>
                      <w:bCs/>
                      <w:color w:val="000000"/>
                      <w:sz w:val="21"/>
                      <w:szCs w:val="21"/>
                      <w:lang w:val="en-US"/>
                    </w:rPr>
                  </w:pPr>
                  <w:r>
                    <w:rPr>
                      <w:rFonts w:hint="eastAsia"/>
                      <w:bCs/>
                      <w:color w:val="000000"/>
                      <w:sz w:val="21"/>
                      <w:szCs w:val="21"/>
                      <w:lang w:val="en-US"/>
                    </w:rPr>
                    <w:t>氢燃料电池氢气循环系统</w:t>
                  </w:r>
                </w:p>
              </w:tc>
              <w:tc>
                <w:tcPr>
                  <w:tcW w:w="1559" w:type="dxa"/>
                  <w:noWrap w:val="0"/>
                  <w:vAlign w:val="top"/>
                </w:tcPr>
                <w:p>
                  <w:pPr>
                    <w:adjustRightInd w:val="0"/>
                    <w:snapToGrid w:val="0"/>
                    <w:spacing w:after="0"/>
                    <w:jc w:val="center"/>
                    <w:rPr>
                      <w:bCs/>
                      <w:color w:val="000000"/>
                      <w:sz w:val="21"/>
                      <w:szCs w:val="21"/>
                      <w:lang w:val="en-US"/>
                    </w:rPr>
                  </w:pPr>
                  <w:r>
                    <w:rPr>
                      <w:rFonts w:hint="eastAsia"/>
                      <w:bCs/>
                      <w:color w:val="000000"/>
                      <w:sz w:val="21"/>
                      <w:szCs w:val="21"/>
                      <w:lang w:val="en-US"/>
                    </w:rPr>
                    <w:t>全球</w:t>
                  </w:r>
                </w:p>
              </w:tc>
              <w:tc>
                <w:tcPr>
                  <w:tcW w:w="3325" w:type="dxa"/>
                  <w:noWrap w:val="0"/>
                  <w:vAlign w:val="top"/>
                </w:tcPr>
                <w:p>
                  <w:pPr>
                    <w:adjustRightInd w:val="0"/>
                    <w:snapToGrid w:val="0"/>
                    <w:spacing w:after="0"/>
                    <w:jc w:val="center"/>
                    <w:rPr>
                      <w:rFonts w:hint="eastAsia"/>
                      <w:bCs/>
                      <w:color w:val="000000"/>
                      <w:sz w:val="21"/>
                      <w:szCs w:val="21"/>
                      <w:lang w:val="en-US"/>
                    </w:rPr>
                  </w:pPr>
                  <w:r>
                    <w:rPr>
                      <w:rFonts w:hint="eastAsia"/>
                      <w:color w:val="333333"/>
                      <w:sz w:val="21"/>
                      <w:szCs w:val="21"/>
                    </w:rPr>
                    <w:t>合营企业2</w:t>
                  </w:r>
                  <w:r>
                    <w:rPr>
                      <w:color w:val="333333"/>
                      <w:sz w:val="21"/>
                      <w:szCs w:val="21"/>
                    </w:rPr>
                    <w:t>023</w:t>
                  </w:r>
                  <w:r>
                    <w:rPr>
                      <w:rFonts w:hint="eastAsia"/>
                      <w:color w:val="333333"/>
                      <w:sz w:val="21"/>
                      <w:szCs w:val="21"/>
                    </w:rPr>
                    <w:t>年预估：1</w:t>
                  </w:r>
                  <w:r>
                    <w:rPr>
                      <w:color w:val="333333"/>
                      <w:sz w:val="21"/>
                      <w:szCs w:val="21"/>
                    </w:rPr>
                    <w:t>0</w:t>
                  </w:r>
                  <w:r>
                    <w:rPr>
                      <w:rFonts w:hint="eastAsia"/>
                      <w:color w:val="333333"/>
                      <w:sz w:val="21"/>
                      <w:szCs w:val="21"/>
                    </w:rPr>
                    <w:t>-</w:t>
                  </w:r>
                  <w:r>
                    <w:rPr>
                      <w:color w:val="333333"/>
                      <w:sz w:val="21"/>
                      <w:szCs w:val="21"/>
                    </w:rPr>
                    <w:t>15</w:t>
                  </w:r>
                  <w:r>
                    <w:rPr>
                      <w:rFonts w:hint="eastAsia"/>
                      <w:color w:val="333333"/>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rFonts w:hint="eastAsia"/>
                      <w:bCs/>
                      <w:color w:val="000000"/>
                      <w:sz w:val="21"/>
                      <w:szCs w:val="21"/>
                      <w:lang w:val="en-US"/>
                    </w:rPr>
                  </w:pPr>
                  <w:r>
                    <w:rPr>
                      <w:rFonts w:hint="eastAsia"/>
                      <w:bCs/>
                      <w:color w:val="000000"/>
                      <w:sz w:val="21"/>
                      <w:szCs w:val="21"/>
                      <w:lang w:val="en-US"/>
                    </w:rPr>
                    <w:t>氢燃料电池空气压缩机</w:t>
                  </w:r>
                </w:p>
              </w:tc>
              <w:tc>
                <w:tcPr>
                  <w:tcW w:w="155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中国境内</w:t>
                  </w:r>
                </w:p>
              </w:tc>
              <w:tc>
                <w:tcPr>
                  <w:tcW w:w="3325" w:type="dxa"/>
                  <w:noWrap w:val="0"/>
                  <w:vAlign w:val="top"/>
                </w:tcPr>
                <w:p>
                  <w:pPr>
                    <w:adjustRightInd w:val="0"/>
                    <w:snapToGrid w:val="0"/>
                    <w:spacing w:after="0"/>
                    <w:jc w:val="center"/>
                    <w:rPr>
                      <w:rFonts w:hint="eastAsia"/>
                      <w:bCs/>
                      <w:color w:val="000000"/>
                      <w:sz w:val="21"/>
                      <w:szCs w:val="21"/>
                      <w:lang w:val="en-US"/>
                    </w:rPr>
                  </w:pPr>
                  <w:r>
                    <w:rPr>
                      <w:rFonts w:hint="eastAsia"/>
                      <w:color w:val="333333"/>
                      <w:sz w:val="21"/>
                      <w:szCs w:val="21"/>
                    </w:rPr>
                    <w:t>合营企业2</w:t>
                  </w:r>
                  <w:r>
                    <w:rPr>
                      <w:color w:val="333333"/>
                      <w:sz w:val="21"/>
                      <w:szCs w:val="21"/>
                    </w:rPr>
                    <w:t>023</w:t>
                  </w:r>
                  <w:r>
                    <w:rPr>
                      <w:rFonts w:hint="eastAsia"/>
                      <w:color w:val="333333"/>
                      <w:sz w:val="21"/>
                      <w:szCs w:val="21"/>
                    </w:rPr>
                    <w:t>年预估：</w:t>
                  </w:r>
                  <w:r>
                    <w:rPr>
                      <w:color w:val="333333"/>
                      <w:sz w:val="21"/>
                      <w:szCs w:val="21"/>
                    </w:rPr>
                    <w:t>15</w:t>
                  </w:r>
                  <w:r>
                    <w:rPr>
                      <w:rFonts w:hint="eastAsia"/>
                      <w:color w:val="333333"/>
                      <w:sz w:val="21"/>
                      <w:szCs w:val="21"/>
                    </w:rPr>
                    <w:t>-</w:t>
                  </w:r>
                  <w:r>
                    <w:rPr>
                      <w:color w:val="333333"/>
                      <w:sz w:val="21"/>
                      <w:szCs w:val="21"/>
                    </w:rPr>
                    <w:t>20</w:t>
                  </w:r>
                  <w:r>
                    <w:rPr>
                      <w:rFonts w:hint="eastAsia"/>
                      <w:color w:val="333333"/>
                      <w:sz w:val="21"/>
                      <w:szCs w:val="21"/>
                    </w:rPr>
                    <w:t>%</w:t>
                  </w:r>
                </w:p>
              </w:tc>
            </w:tr>
          </w:tbl>
          <w:p>
            <w:pPr>
              <w:pStyle w:val="3"/>
              <w:adjustRightInd w:val="0"/>
              <w:snapToGrid w:val="0"/>
              <w:spacing w:after="0"/>
              <w:rPr>
                <w:rFonts w:hint="eastAsia" w:cs="Times New Roman"/>
                <w:bCs/>
                <w:color w:val="000000"/>
                <w:sz w:val="21"/>
                <w:szCs w:val="21"/>
                <w:lang w:eastAsia="zh-CN"/>
              </w:rPr>
            </w:pPr>
          </w:p>
        </w:tc>
      </w:tr>
    </w:tbl>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B20B7"/>
    <w:rsid w:val="3FFB2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jc w:val="center"/>
      <w:outlineLvl w:val="0"/>
    </w:pPr>
    <w:rPr>
      <w:rFonts w:ascii="方正小标宋简体" w:eastAsia="方正小标宋简体"/>
      <w:kern w:val="0"/>
      <w:sz w:val="44"/>
      <w:szCs w:val="36"/>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2023-04-21T06:56:00Z</dcterms:created>
  <dc:creator>张斌（反垄断处）&amp;userId=26a0a51a-0156-1000-e000-36290a010119</dc:creator>
  <cp:lastModifiedBy>张斌（反垄断处）&amp;userId=26a0a51a-0156-1000-e000-36290a010119</cp:lastModifiedBy>
  <dcterms:modified xsi:type="dcterms:W3CDTF">2023-04-21T06:57:03Z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896120D9FAF14ADDA4EA3DF9CDCA16A3</vt:lpwstr>
  </property>
</Properties>
</file>