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ind w:left="0" w:leftChars="0" w:firstLine="0" w:firstLineChars="0"/>
        <w:rPr>
          <w:rFonts w:hint="eastAsia" w:eastAsia="仿宋_GB2312" w:cs="Times New Roman"/>
          <w:bCs w:val="0"/>
          <w:color w:val="000000"/>
          <w:kern w:val="2"/>
          <w:sz w:val="32"/>
          <w:szCs w:val="32"/>
          <w:lang w:val="en-US" w:eastAsia="zh-CN" w:bidi="ar-SA"/>
        </w:rPr>
      </w:pPr>
    </w:p>
    <w:p>
      <w:pPr>
        <w:jc w:val="center"/>
        <w:rPr>
          <w:rFonts w:ascii="黑体" w:hAnsi="黑体" w:eastAsia="黑体" w:cs="黑体"/>
          <w:bCs/>
          <w:sz w:val="36"/>
          <w:szCs w:val="36"/>
        </w:rPr>
      </w:pPr>
      <w:r>
        <w:rPr>
          <w:rFonts w:hint="eastAsia" w:ascii="黑体" w:hAnsi="黑体" w:eastAsia="黑体" w:cs="黑体"/>
          <w:bCs/>
          <w:sz w:val="36"/>
          <w:szCs w:val="36"/>
          <w:lang w:val="en-US" w:eastAsia="zh-CN"/>
        </w:rPr>
        <w:t xml:space="preserve">  </w:t>
      </w:r>
      <w:r>
        <w:rPr>
          <w:rFonts w:hint="eastAsia" w:ascii="黑体" w:hAnsi="黑体" w:eastAsia="黑体" w:cs="黑体"/>
          <w:bCs/>
          <w:sz w:val="36"/>
          <w:szCs w:val="36"/>
        </w:rPr>
        <w:t xml:space="preserve"> 经营者集中简易案件公示表</w:t>
      </w:r>
    </w:p>
    <w:p>
      <w:pPr>
        <w:pStyle w:val="3"/>
      </w:pPr>
    </w:p>
    <w:tbl>
      <w:tblPr>
        <w:tblStyle w:val="6"/>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3"/>
        <w:gridCol w:w="1311"/>
        <w:gridCol w:w="64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883" w:type="dxa"/>
            <w:shd w:val="clear" w:color="auto" w:fill="D9D9D9"/>
            <w:vAlign w:val="center"/>
          </w:tcPr>
          <w:p>
            <w:pPr>
              <w:pStyle w:val="4"/>
              <w:adjustRightInd w:val="0"/>
              <w:snapToGrid w:val="0"/>
              <w:spacing w:after="0"/>
              <w:jc w:val="center"/>
              <w:rPr>
                <w:rFonts w:ascii="宋体" w:hAnsi="宋体" w:cs="宋体"/>
                <w:bCs/>
                <w:color w:val="000000"/>
              </w:rPr>
            </w:pPr>
            <w:r>
              <w:rPr>
                <w:rFonts w:hint="eastAsia" w:ascii="宋体" w:hAnsi="宋体" w:cs="宋体"/>
                <w:bCs/>
                <w:color w:val="000000"/>
              </w:rPr>
              <w:t>案件名称</w:t>
            </w:r>
          </w:p>
        </w:tc>
        <w:tc>
          <w:tcPr>
            <w:tcW w:w="7757" w:type="dxa"/>
            <w:gridSpan w:val="2"/>
            <w:vAlign w:val="center"/>
          </w:tcPr>
          <w:p>
            <w:pPr>
              <w:adjustRightInd w:val="0"/>
              <w:snapToGrid w:val="0"/>
              <w:rPr>
                <w:rFonts w:ascii="宋体" w:hAnsi="宋体" w:cs="宋体"/>
                <w:bCs/>
                <w:color w:val="000000"/>
              </w:rPr>
            </w:pPr>
            <w:r>
              <w:rPr>
                <w:rFonts w:hint="eastAsia" w:ascii="宋体" w:hAnsi="宋体" w:cs="宋体"/>
                <w:bCs/>
                <w:color w:val="000000"/>
              </w:rPr>
              <w:t>广东电网能源投资有限公司与东莞市莞城建筑工程有限公司收购东莞莞能绿色能源服务有限公司股权案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9" w:hRule="atLeast"/>
          <w:jc w:val="center"/>
        </w:trPr>
        <w:tc>
          <w:tcPr>
            <w:tcW w:w="1883" w:type="dxa"/>
            <w:shd w:val="clear" w:color="auto" w:fill="D9D9D9"/>
            <w:vAlign w:val="center"/>
          </w:tcPr>
          <w:p>
            <w:pPr>
              <w:pStyle w:val="4"/>
              <w:adjustRightInd w:val="0"/>
              <w:snapToGrid w:val="0"/>
              <w:spacing w:after="0"/>
              <w:jc w:val="center"/>
              <w:rPr>
                <w:rFonts w:ascii="宋体" w:hAnsi="宋体" w:cs="宋体"/>
                <w:bCs/>
                <w:color w:val="000000"/>
              </w:rPr>
            </w:pPr>
            <w:r>
              <w:rPr>
                <w:rFonts w:hint="eastAsia" w:ascii="宋体" w:hAnsi="宋体" w:cs="宋体"/>
                <w:bCs/>
                <w:color w:val="000000"/>
              </w:rPr>
              <w:t>交易概况</w:t>
            </w:r>
          </w:p>
        </w:tc>
        <w:tc>
          <w:tcPr>
            <w:tcW w:w="7757" w:type="dxa"/>
            <w:gridSpan w:val="2"/>
            <w:vAlign w:val="center"/>
          </w:tcPr>
          <w:p>
            <w:pPr>
              <w:rPr>
                <w:rFonts w:hint="eastAsia" w:ascii="宋体" w:hAnsi="宋体" w:cs="宋体"/>
                <w:bCs/>
                <w:color w:val="000000"/>
                <w:lang w:eastAsia="zh-Hans"/>
              </w:rPr>
            </w:pPr>
            <w:r>
              <w:rPr>
                <w:rFonts w:hint="eastAsia" w:ascii="宋体" w:hAnsi="宋体" w:cs="宋体"/>
                <w:bCs/>
                <w:color w:val="000000"/>
              </w:rPr>
              <w:t>广东电</w:t>
            </w:r>
            <w:r>
              <w:rPr>
                <w:rFonts w:hint="eastAsia" w:ascii="宋体" w:hAnsi="宋体" w:cs="宋体"/>
                <w:bCs/>
                <w:color w:val="000000"/>
                <w:highlight w:val="none"/>
              </w:rPr>
              <w:t>网能源投资有限公司（“广能投”）、东莞市莞城建筑工程有限公司（“莞建公司”）与广东聚润达集团有限责任公司（“聚润达集团”）签署协议，广能投和莞建公司收购东莞莞能绿色能源服务有限公司（“莞能公司”）共计6</w:t>
            </w:r>
            <w:r>
              <w:rPr>
                <w:rFonts w:ascii="宋体" w:hAnsi="宋体" w:cs="宋体"/>
                <w:bCs/>
                <w:color w:val="000000"/>
                <w:highlight w:val="none"/>
              </w:rPr>
              <w:t>4</w:t>
            </w:r>
            <w:r>
              <w:rPr>
                <w:rFonts w:hint="eastAsia" w:ascii="宋体" w:hAnsi="宋体" w:cs="宋体"/>
                <w:bCs/>
                <w:color w:val="000000"/>
                <w:highlight w:val="none"/>
              </w:rPr>
              <w:t>%股权。莞能公司主要从事电力工程施工业务。交易前，聚润达集团持有莞能公司1</w:t>
            </w:r>
            <w:r>
              <w:rPr>
                <w:rFonts w:ascii="宋体" w:hAnsi="宋体" w:cs="宋体"/>
                <w:bCs/>
                <w:color w:val="000000"/>
                <w:highlight w:val="none"/>
              </w:rPr>
              <w:t>00%</w:t>
            </w:r>
            <w:r>
              <w:rPr>
                <w:rFonts w:hint="eastAsia" w:ascii="宋体" w:hAnsi="宋体" w:cs="宋体"/>
                <w:bCs/>
                <w:color w:val="000000"/>
                <w:highlight w:val="none"/>
              </w:rPr>
              <w:t>的股权，单独控制莞能公司。</w:t>
            </w:r>
            <w:r>
              <w:rPr>
                <w:rFonts w:hint="eastAsia" w:ascii="宋体" w:hAnsi="宋体" w:cs="宋体"/>
                <w:bCs/>
                <w:color w:val="000000"/>
                <w:highlight w:val="none"/>
                <w:lang w:eastAsia="zh-Hans"/>
              </w:rPr>
              <w:t>交易后，</w:t>
            </w:r>
            <w:r>
              <w:rPr>
                <w:rFonts w:hint="eastAsia" w:ascii="宋体" w:hAnsi="宋体" w:cs="宋体"/>
                <w:bCs/>
                <w:color w:val="000000"/>
                <w:highlight w:val="none"/>
                <w:lang w:eastAsia="zh-CN"/>
              </w:rPr>
              <w:t>聚润达集团、</w:t>
            </w:r>
            <w:r>
              <w:rPr>
                <w:rFonts w:hint="eastAsia" w:ascii="宋体" w:hAnsi="宋体" w:cs="宋体"/>
                <w:bCs/>
                <w:color w:val="000000"/>
                <w:highlight w:val="none"/>
                <w:lang w:eastAsia="zh-Hans"/>
              </w:rPr>
              <w:t>广能投</w:t>
            </w:r>
            <w:r>
              <w:rPr>
                <w:rFonts w:hint="eastAsia" w:ascii="宋体" w:hAnsi="宋体" w:cs="宋体"/>
                <w:bCs/>
                <w:color w:val="000000"/>
                <w:highlight w:val="none"/>
                <w:lang w:eastAsia="zh-CN"/>
              </w:rPr>
              <w:t>、</w:t>
            </w:r>
            <w:r>
              <w:rPr>
                <w:rFonts w:hint="eastAsia" w:ascii="宋体" w:hAnsi="宋体" w:cs="宋体"/>
                <w:bCs/>
                <w:color w:val="000000"/>
                <w:highlight w:val="none"/>
                <w:lang w:eastAsia="zh-Hans"/>
              </w:rPr>
              <w:t>莞建公司将</w:t>
            </w:r>
            <w:r>
              <w:rPr>
                <w:rFonts w:hint="eastAsia" w:ascii="宋体" w:hAnsi="宋体" w:cs="宋体"/>
                <w:bCs/>
                <w:color w:val="000000"/>
                <w:highlight w:val="none"/>
                <w:lang w:eastAsia="zh-CN"/>
              </w:rPr>
              <w:t>分别</w:t>
            </w:r>
            <w:r>
              <w:rPr>
                <w:rFonts w:hint="eastAsia" w:ascii="宋体" w:hAnsi="宋体" w:cs="宋体"/>
                <w:bCs/>
                <w:color w:val="000000"/>
                <w:highlight w:val="none"/>
                <w:lang w:eastAsia="zh-Hans"/>
              </w:rPr>
              <w:t>持有</w:t>
            </w:r>
            <w:r>
              <w:rPr>
                <w:rFonts w:hint="eastAsia" w:ascii="宋体" w:hAnsi="宋体" w:cs="宋体"/>
                <w:bCs/>
                <w:color w:val="000000"/>
                <w:highlight w:val="none"/>
              </w:rPr>
              <w:t>莞能公司</w:t>
            </w:r>
            <w:r>
              <w:rPr>
                <w:rFonts w:hint="eastAsia" w:ascii="宋体" w:hAnsi="宋体" w:cs="宋体"/>
                <w:bCs/>
                <w:color w:val="000000"/>
                <w:highlight w:val="none"/>
                <w:lang w:val="en-US" w:eastAsia="zh-CN"/>
              </w:rPr>
              <w:t>36%、34%、</w:t>
            </w:r>
            <w:r>
              <w:rPr>
                <w:rFonts w:hint="eastAsia" w:ascii="宋体" w:hAnsi="宋体" w:cs="宋体"/>
                <w:bCs/>
                <w:color w:val="000000"/>
                <w:highlight w:val="none"/>
              </w:rPr>
              <w:t>3</w:t>
            </w:r>
            <w:r>
              <w:rPr>
                <w:rFonts w:ascii="宋体" w:hAnsi="宋体" w:cs="宋体"/>
                <w:bCs/>
                <w:color w:val="000000"/>
                <w:highlight w:val="none"/>
              </w:rPr>
              <w:t>0%</w:t>
            </w:r>
            <w:r>
              <w:rPr>
                <w:rFonts w:hint="eastAsia" w:ascii="宋体" w:hAnsi="宋体" w:cs="宋体"/>
                <w:bCs/>
                <w:color w:val="000000"/>
                <w:highlight w:val="none"/>
              </w:rPr>
              <w:t>股权，聚润达集团</w:t>
            </w:r>
            <w:r>
              <w:rPr>
                <w:rFonts w:hint="eastAsia" w:ascii="宋体" w:hAnsi="宋体" w:cs="宋体"/>
                <w:bCs/>
                <w:color w:val="000000"/>
                <w:highlight w:val="none"/>
                <w:lang w:eastAsia="zh-CN"/>
              </w:rPr>
              <w:t>、</w:t>
            </w:r>
            <w:r>
              <w:rPr>
                <w:rFonts w:hint="eastAsia" w:ascii="宋体" w:hAnsi="宋体" w:cs="宋体"/>
                <w:bCs/>
                <w:color w:val="000000"/>
                <w:highlight w:val="none"/>
              </w:rPr>
              <w:t>广能投、莞建公司共同控制莞能公司。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9" w:hRule="atLeast"/>
          <w:jc w:val="center"/>
        </w:trPr>
        <w:tc>
          <w:tcPr>
            <w:tcW w:w="1883" w:type="dxa"/>
            <w:vMerge w:val="restart"/>
            <w:shd w:val="clear" w:color="auto" w:fill="D9D9D9"/>
            <w:vAlign w:val="center"/>
          </w:tcPr>
          <w:p>
            <w:pPr>
              <w:pStyle w:val="4"/>
              <w:adjustRightInd w:val="0"/>
              <w:snapToGrid w:val="0"/>
              <w:spacing w:after="0"/>
              <w:rPr>
                <w:rFonts w:ascii="宋体" w:hAnsi="宋体" w:cs="宋体"/>
                <w:bCs/>
                <w:color w:val="000000"/>
              </w:rPr>
            </w:pPr>
            <w:r>
              <w:rPr>
                <w:rFonts w:hint="eastAsia" w:ascii="宋体" w:hAnsi="宋体" w:cs="宋体"/>
                <w:bCs/>
                <w:color w:val="000000"/>
              </w:rPr>
              <w:t>参与集中的经营者简介</w:t>
            </w:r>
          </w:p>
        </w:tc>
        <w:tc>
          <w:tcPr>
            <w:tcW w:w="1311" w:type="dxa"/>
            <w:vAlign w:val="center"/>
          </w:tcPr>
          <w:p>
            <w:pPr>
              <w:adjustRightInd w:val="0"/>
              <w:snapToGrid w:val="0"/>
              <w:jc w:val="center"/>
              <w:rPr>
                <w:rFonts w:ascii="宋体" w:hAnsi="宋体" w:cs="宋体"/>
                <w:bCs/>
                <w:color w:val="000000"/>
              </w:rPr>
            </w:pPr>
            <w:r>
              <w:rPr>
                <w:rFonts w:hint="eastAsia" w:ascii="宋体" w:hAnsi="宋体" w:cs="宋体"/>
                <w:bCs/>
                <w:color w:val="000000"/>
                <w:lang w:eastAsia="zh-Hans"/>
              </w:rPr>
              <w:t>1、广能投</w:t>
            </w:r>
          </w:p>
        </w:tc>
        <w:tc>
          <w:tcPr>
            <w:tcW w:w="6446" w:type="dxa"/>
            <w:vAlign w:val="center"/>
          </w:tcPr>
          <w:p>
            <w:pPr>
              <w:adjustRightInd w:val="0"/>
              <w:snapToGrid w:val="0"/>
              <w:rPr>
                <w:rFonts w:ascii="宋体" w:hAnsi="宋体" w:cs="宋体"/>
                <w:bCs/>
                <w:color w:val="000000"/>
                <w:lang w:eastAsia="zh-Hans"/>
              </w:rPr>
            </w:pPr>
            <w:r>
              <w:rPr>
                <w:rFonts w:hint="eastAsia" w:ascii="宋体" w:hAnsi="宋体" w:cs="宋体"/>
                <w:bCs/>
                <w:color w:val="000000"/>
                <w:lang w:eastAsia="zh-Hans"/>
              </w:rPr>
              <w:t>广能投于</w:t>
            </w:r>
            <w:r>
              <w:rPr>
                <w:rFonts w:ascii="宋体" w:hAnsi="宋体" w:cs="宋体"/>
                <w:bCs/>
                <w:color w:val="000000"/>
              </w:rPr>
              <w:t>1995</w:t>
            </w:r>
            <w:r>
              <w:rPr>
                <w:rFonts w:hint="eastAsia" w:ascii="宋体" w:hAnsi="宋体" w:cs="宋体"/>
                <w:bCs/>
                <w:color w:val="000000"/>
              </w:rPr>
              <w:t>年1月</w:t>
            </w:r>
            <w:r>
              <w:rPr>
                <w:rFonts w:ascii="宋体" w:hAnsi="宋体" w:cs="宋体"/>
                <w:bCs/>
                <w:color w:val="000000"/>
              </w:rPr>
              <w:t>9</w:t>
            </w:r>
            <w:r>
              <w:rPr>
                <w:rFonts w:hint="eastAsia" w:ascii="宋体" w:hAnsi="宋体" w:cs="宋体"/>
                <w:bCs/>
                <w:color w:val="000000"/>
              </w:rPr>
              <w:t>日成立</w:t>
            </w:r>
            <w:r>
              <w:rPr>
                <w:rFonts w:hint="eastAsia" w:ascii="宋体" w:hAnsi="宋体" w:cs="宋体"/>
                <w:bCs/>
                <w:color w:val="000000"/>
                <w:lang w:eastAsia="zh-Hans"/>
              </w:rPr>
              <w:t>于</w:t>
            </w:r>
            <w:r>
              <w:rPr>
                <w:rFonts w:hint="eastAsia" w:ascii="宋体" w:hAnsi="宋体" w:cs="宋体"/>
                <w:bCs/>
                <w:color w:val="000000"/>
              </w:rPr>
              <w:t>中国广东省，</w:t>
            </w:r>
            <w:r>
              <w:rPr>
                <w:rFonts w:hint="eastAsia" w:ascii="宋体" w:hAnsi="宋体" w:cs="宋体"/>
                <w:bCs/>
                <w:color w:val="000000"/>
                <w:lang w:eastAsia="zh-Hans"/>
              </w:rPr>
              <w:t>主要业务为</w:t>
            </w:r>
            <w:r>
              <w:rPr>
                <w:rFonts w:ascii="Helvetica Neue" w:hAnsi="Helvetica Neue"/>
                <w:color w:val="333333"/>
                <w:szCs w:val="21"/>
                <w:shd w:val="clear" w:color="auto" w:fill="FFFFFF"/>
              </w:rPr>
              <w:t>电动汽车及其充电设施的投资与运营</w:t>
            </w:r>
            <w:r>
              <w:rPr>
                <w:rFonts w:hint="eastAsia" w:ascii="Helvetica Neue" w:hAnsi="Helvetica Neue"/>
                <w:color w:val="333333"/>
                <w:szCs w:val="21"/>
                <w:shd w:val="clear" w:color="auto" w:fill="FFFFFF"/>
              </w:rPr>
              <w:t>；</w:t>
            </w:r>
            <w:r>
              <w:rPr>
                <w:rFonts w:ascii="Helvetica Neue" w:hAnsi="Helvetica Neue"/>
                <w:color w:val="333333"/>
                <w:szCs w:val="21"/>
                <w:shd w:val="clear" w:color="auto" w:fill="FFFFFF"/>
              </w:rPr>
              <w:t>储能项目投资及运营</w:t>
            </w:r>
            <w:r>
              <w:rPr>
                <w:rFonts w:hint="eastAsia" w:ascii="Helvetica Neue" w:hAnsi="Helvetica Neue"/>
                <w:color w:val="333333"/>
                <w:szCs w:val="21"/>
                <w:shd w:val="clear" w:color="auto" w:fill="FFFFFF"/>
              </w:rPr>
              <w:t>等</w:t>
            </w:r>
            <w:r>
              <w:rPr>
                <w:rFonts w:hint="eastAsia" w:ascii="宋体" w:hAnsi="宋体" w:cs="宋体"/>
                <w:bCs/>
                <w:color w:val="000000"/>
                <w:lang w:eastAsia="zh-Hans"/>
              </w:rPr>
              <w:t>。</w:t>
            </w:r>
          </w:p>
          <w:p>
            <w:pPr>
              <w:adjustRightInd w:val="0"/>
              <w:snapToGrid w:val="0"/>
              <w:rPr>
                <w:rFonts w:ascii="宋体" w:hAnsi="宋体" w:cs="宋体"/>
                <w:bCs/>
                <w:color w:val="000000"/>
                <w:lang w:eastAsia="zh-Hans"/>
              </w:rPr>
            </w:pPr>
            <w:r>
              <w:rPr>
                <w:rFonts w:hint="eastAsia" w:ascii="宋体" w:hAnsi="宋体" w:cs="宋体"/>
                <w:bCs/>
                <w:color w:val="000000"/>
                <w:lang w:eastAsia="zh-Hans"/>
              </w:rPr>
              <w:t>广能投最终控制人</w:t>
            </w:r>
            <w:r>
              <w:rPr>
                <w:rFonts w:hint="eastAsia" w:ascii="宋体" w:hAnsi="宋体" w:cs="宋体"/>
                <w:bCs/>
                <w:color w:val="000000"/>
              </w:rPr>
              <w:t>为中国</w:t>
            </w:r>
            <w:r>
              <w:rPr>
                <w:rFonts w:hint="eastAsia" w:ascii="宋体" w:hAnsi="宋体" w:cs="宋体"/>
                <w:bCs/>
                <w:color w:val="000000"/>
                <w:lang w:eastAsia="zh-Hans"/>
              </w:rPr>
              <w:t>南方电网</w:t>
            </w:r>
            <w:r>
              <w:rPr>
                <w:rFonts w:hint="eastAsia" w:ascii="宋体" w:hAnsi="宋体" w:cs="宋体"/>
                <w:bCs/>
                <w:color w:val="000000"/>
              </w:rPr>
              <w:t>有限责任</w:t>
            </w:r>
            <w:r>
              <w:rPr>
                <w:rFonts w:hint="eastAsia" w:ascii="宋体" w:hAnsi="宋体" w:cs="宋体"/>
                <w:bCs/>
                <w:color w:val="000000"/>
                <w:lang w:eastAsia="zh-Hans"/>
              </w:rPr>
              <w:t>公司，主要从事</w:t>
            </w:r>
            <w:r>
              <w:rPr>
                <w:rFonts w:hint="eastAsia" w:ascii="宋体" w:hAnsi="宋体" w:cs="宋体"/>
                <w:bCs/>
                <w:color w:val="000000"/>
              </w:rPr>
              <w:t>南方</w:t>
            </w:r>
            <w:r>
              <w:rPr>
                <w:rFonts w:hint="eastAsia" w:ascii="宋体" w:hAnsi="宋体" w:cs="宋体"/>
                <w:bCs/>
                <w:color w:val="000000"/>
                <w:lang w:eastAsia="zh-Hans"/>
              </w:rPr>
              <w:t>五省</w:t>
            </w:r>
            <w:r>
              <w:rPr>
                <w:rFonts w:hint="eastAsia" w:ascii="宋体" w:hAnsi="宋体" w:cs="宋体"/>
                <w:bCs/>
                <w:color w:val="000000"/>
              </w:rPr>
              <w:t>区</w:t>
            </w:r>
            <w:r>
              <w:rPr>
                <w:rFonts w:hint="eastAsia" w:ascii="宋体" w:hAnsi="宋体" w:cs="宋体"/>
                <w:bCs/>
                <w:color w:val="000000"/>
                <w:lang w:eastAsia="zh-Hans"/>
              </w:rPr>
              <w:t xml:space="preserve">电力供应、区域电网管理、电力交易与调度业务。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jc w:val="center"/>
        </w:trPr>
        <w:tc>
          <w:tcPr>
            <w:tcW w:w="1883" w:type="dxa"/>
            <w:vMerge w:val="continue"/>
            <w:shd w:val="clear" w:color="auto" w:fill="D9D9D9"/>
            <w:vAlign w:val="center"/>
          </w:tcPr>
          <w:p>
            <w:pPr>
              <w:pStyle w:val="4"/>
              <w:adjustRightInd w:val="0"/>
              <w:snapToGrid w:val="0"/>
              <w:spacing w:after="0"/>
              <w:rPr>
                <w:rFonts w:ascii="宋体" w:hAnsi="宋体" w:cs="宋体"/>
                <w:bCs/>
                <w:color w:val="000000"/>
              </w:rPr>
            </w:pPr>
          </w:p>
        </w:tc>
        <w:tc>
          <w:tcPr>
            <w:tcW w:w="1311" w:type="dxa"/>
            <w:vAlign w:val="center"/>
          </w:tcPr>
          <w:p>
            <w:pPr>
              <w:adjustRightInd w:val="0"/>
              <w:snapToGrid w:val="0"/>
              <w:jc w:val="center"/>
              <w:rPr>
                <w:rFonts w:ascii="宋体" w:hAnsi="宋体" w:cs="宋体"/>
                <w:bCs/>
                <w:color w:val="000000"/>
              </w:rPr>
            </w:pPr>
            <w:r>
              <w:rPr>
                <w:rFonts w:hint="eastAsia" w:ascii="宋体" w:hAnsi="宋体" w:cs="宋体"/>
                <w:bCs/>
                <w:color w:val="000000"/>
                <w:lang w:eastAsia="zh-Hans"/>
              </w:rPr>
              <w:t>2、</w:t>
            </w:r>
            <w:r>
              <w:rPr>
                <w:rFonts w:hint="eastAsia" w:ascii="宋体" w:hAnsi="宋体" w:cs="宋体"/>
                <w:bCs/>
                <w:color w:val="000000"/>
              </w:rPr>
              <w:t>莞建公司</w:t>
            </w:r>
          </w:p>
        </w:tc>
        <w:tc>
          <w:tcPr>
            <w:tcW w:w="6446" w:type="dxa"/>
            <w:vAlign w:val="center"/>
          </w:tcPr>
          <w:p>
            <w:pPr>
              <w:adjustRightInd w:val="0"/>
              <w:snapToGrid w:val="0"/>
              <w:rPr>
                <w:rFonts w:ascii="宋体" w:hAnsi="宋体" w:cs="宋体"/>
                <w:bCs/>
                <w:color w:val="000000"/>
                <w:lang w:eastAsia="zh-Hans"/>
              </w:rPr>
            </w:pPr>
            <w:r>
              <w:rPr>
                <w:rFonts w:hint="eastAsia" w:ascii="宋体" w:hAnsi="宋体" w:cs="宋体"/>
                <w:bCs/>
                <w:color w:val="000000"/>
              </w:rPr>
              <w:t>莞建公司</w:t>
            </w:r>
            <w:r>
              <w:rPr>
                <w:rFonts w:hint="eastAsia" w:ascii="宋体" w:hAnsi="宋体" w:cs="宋体"/>
                <w:bCs/>
                <w:color w:val="000000"/>
                <w:lang w:eastAsia="zh-Hans"/>
              </w:rPr>
              <w:t>于</w:t>
            </w:r>
            <w:r>
              <w:rPr>
                <w:rFonts w:ascii="宋体" w:hAnsi="宋体" w:cs="宋体"/>
                <w:bCs/>
                <w:color w:val="000000"/>
                <w:lang w:eastAsia="zh-Hans"/>
              </w:rPr>
              <w:t>1986</w:t>
            </w:r>
            <w:r>
              <w:rPr>
                <w:rFonts w:hint="eastAsia" w:ascii="宋体" w:hAnsi="宋体" w:cs="宋体"/>
                <w:bCs/>
                <w:color w:val="000000"/>
                <w:lang w:eastAsia="zh-Hans"/>
              </w:rPr>
              <w:t>年</w:t>
            </w:r>
            <w:r>
              <w:rPr>
                <w:rFonts w:ascii="宋体" w:hAnsi="宋体" w:cs="宋体"/>
                <w:bCs/>
                <w:color w:val="000000"/>
                <w:lang w:eastAsia="zh-Hans"/>
              </w:rPr>
              <w:t>12</w:t>
            </w:r>
            <w:r>
              <w:rPr>
                <w:rFonts w:hint="eastAsia" w:ascii="宋体" w:hAnsi="宋体" w:cs="宋体"/>
                <w:bCs/>
                <w:color w:val="000000"/>
                <w:lang w:eastAsia="zh-Hans"/>
              </w:rPr>
              <w:t>月</w:t>
            </w:r>
            <w:r>
              <w:rPr>
                <w:rFonts w:ascii="宋体" w:hAnsi="宋体" w:cs="宋体"/>
                <w:bCs/>
                <w:color w:val="000000"/>
                <w:lang w:eastAsia="zh-Hans"/>
              </w:rPr>
              <w:t>17</w:t>
            </w:r>
            <w:r>
              <w:rPr>
                <w:rFonts w:hint="eastAsia" w:ascii="宋体" w:hAnsi="宋体" w:cs="宋体"/>
                <w:bCs/>
                <w:color w:val="000000"/>
                <w:lang w:eastAsia="zh-Hans"/>
              </w:rPr>
              <w:t xml:space="preserve">日成立于中国广东省，主要业务为建筑工程施工总承包等。 </w:t>
            </w:r>
          </w:p>
          <w:p>
            <w:pPr>
              <w:rPr>
                <w:rFonts w:ascii="宋体" w:hAnsi="宋体" w:cs="宋体"/>
                <w:bCs/>
                <w:color w:val="000000"/>
                <w:lang w:eastAsia="zh-Hans"/>
              </w:rPr>
            </w:pPr>
            <w:r>
              <w:rPr>
                <w:rFonts w:hint="eastAsia" w:ascii="宋体" w:hAnsi="宋体" w:cs="宋体"/>
                <w:bCs/>
                <w:color w:val="000000"/>
              </w:rPr>
              <w:t>莞建公司</w:t>
            </w:r>
            <w:r>
              <w:rPr>
                <w:rFonts w:hint="eastAsia" w:ascii="宋体" w:hAnsi="宋体" w:cs="宋体"/>
                <w:bCs/>
                <w:color w:val="000000"/>
                <w:lang w:eastAsia="zh-Hans"/>
              </w:rPr>
              <w:t>最终控制人</w:t>
            </w:r>
            <w:r>
              <w:rPr>
                <w:rFonts w:hint="eastAsia" w:ascii="宋体" w:hAnsi="宋体" w:cs="宋体"/>
                <w:bCs/>
                <w:color w:val="000000"/>
              </w:rPr>
              <w:t>为东莞实业投资控股集团有限公司</w:t>
            </w:r>
            <w:r>
              <w:rPr>
                <w:rFonts w:hint="eastAsia" w:ascii="宋体" w:hAnsi="宋体" w:cs="宋体"/>
                <w:bCs/>
                <w:color w:val="000000"/>
                <w:lang w:eastAsia="zh-Hans"/>
              </w:rPr>
              <w:t>，主要从事城市更新、工程建设、</w:t>
            </w:r>
            <w:r>
              <w:rPr>
                <w:rFonts w:hint="eastAsia" w:ascii="宋体" w:hAnsi="宋体"/>
              </w:rPr>
              <w:t>产业园区投资建设运营等业务。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jc w:val="center"/>
        </w:trPr>
        <w:tc>
          <w:tcPr>
            <w:tcW w:w="1883" w:type="dxa"/>
            <w:vMerge w:val="continue"/>
            <w:shd w:val="clear" w:color="auto" w:fill="D9D9D9"/>
            <w:vAlign w:val="center"/>
          </w:tcPr>
          <w:p>
            <w:pPr>
              <w:pStyle w:val="4"/>
              <w:adjustRightInd w:val="0"/>
              <w:snapToGrid w:val="0"/>
              <w:spacing w:after="0"/>
              <w:rPr>
                <w:rFonts w:ascii="宋体" w:hAnsi="宋体" w:cs="宋体"/>
                <w:bCs/>
                <w:color w:val="000000"/>
              </w:rPr>
            </w:pPr>
          </w:p>
        </w:tc>
        <w:tc>
          <w:tcPr>
            <w:tcW w:w="1311" w:type="dxa"/>
            <w:vAlign w:val="center"/>
          </w:tcPr>
          <w:p>
            <w:pPr>
              <w:adjustRightInd w:val="0"/>
              <w:snapToGrid w:val="0"/>
              <w:jc w:val="center"/>
              <w:rPr>
                <w:rFonts w:ascii="宋体" w:hAnsi="宋体" w:cs="宋体"/>
                <w:bCs/>
                <w:color w:val="000000"/>
              </w:rPr>
            </w:pPr>
            <w:r>
              <w:rPr>
                <w:rFonts w:hint="eastAsia" w:ascii="宋体" w:hAnsi="宋体" w:cs="宋体"/>
                <w:bCs/>
                <w:color w:val="000000"/>
              </w:rPr>
              <w:t>3、聚润达集团</w:t>
            </w:r>
          </w:p>
        </w:tc>
        <w:tc>
          <w:tcPr>
            <w:tcW w:w="6446" w:type="dxa"/>
            <w:vAlign w:val="center"/>
          </w:tcPr>
          <w:p>
            <w:pPr>
              <w:adjustRightInd w:val="0"/>
              <w:snapToGrid w:val="0"/>
              <w:rPr>
                <w:rFonts w:ascii="宋体" w:hAnsi="宋体" w:cs="宋体"/>
                <w:bCs/>
                <w:color w:val="000000"/>
              </w:rPr>
            </w:pPr>
            <w:r>
              <w:rPr>
                <w:rFonts w:hint="eastAsia" w:ascii="宋体" w:hAnsi="宋体" w:cs="宋体"/>
                <w:bCs/>
                <w:color w:val="000000"/>
              </w:rPr>
              <w:t>聚润达集团于20</w:t>
            </w:r>
            <w:r>
              <w:rPr>
                <w:rFonts w:ascii="宋体" w:hAnsi="宋体" w:cs="宋体"/>
                <w:bCs/>
                <w:color w:val="000000"/>
              </w:rPr>
              <w:t>17</w:t>
            </w:r>
            <w:r>
              <w:rPr>
                <w:rFonts w:hint="eastAsia" w:ascii="宋体" w:hAnsi="宋体" w:cs="宋体"/>
                <w:bCs/>
                <w:color w:val="000000"/>
              </w:rPr>
              <w:t>年</w:t>
            </w:r>
            <w:r>
              <w:rPr>
                <w:rFonts w:ascii="宋体" w:hAnsi="宋体" w:cs="宋体"/>
                <w:bCs/>
                <w:color w:val="000000"/>
              </w:rPr>
              <w:t>2</w:t>
            </w:r>
            <w:r>
              <w:rPr>
                <w:rFonts w:hint="eastAsia" w:ascii="宋体" w:hAnsi="宋体" w:cs="宋体"/>
                <w:bCs/>
                <w:color w:val="000000"/>
              </w:rPr>
              <w:t>月</w:t>
            </w:r>
            <w:r>
              <w:rPr>
                <w:rFonts w:ascii="宋体" w:hAnsi="宋体" w:cs="宋体"/>
                <w:bCs/>
                <w:color w:val="000000"/>
              </w:rPr>
              <w:t>21</w:t>
            </w:r>
            <w:r>
              <w:rPr>
                <w:rFonts w:hint="eastAsia" w:ascii="宋体" w:hAnsi="宋体" w:cs="宋体"/>
                <w:bCs/>
                <w:color w:val="000000"/>
              </w:rPr>
              <w:t>日成立于中国广东省，</w:t>
            </w:r>
            <w:r>
              <w:rPr>
                <w:rFonts w:hint="eastAsia" w:ascii="宋体" w:hAnsi="宋体" w:cs="宋体"/>
                <w:bCs/>
                <w:color w:val="000000"/>
                <w:lang w:eastAsia="zh-Hans"/>
              </w:rPr>
              <w:t>主要业务为电力工程设计、施工等。</w:t>
            </w:r>
          </w:p>
          <w:p>
            <w:pPr>
              <w:adjustRightInd w:val="0"/>
              <w:snapToGrid w:val="0"/>
              <w:rPr>
                <w:rFonts w:ascii="宋体" w:hAnsi="宋体" w:cs="宋体"/>
                <w:bCs/>
                <w:color w:val="000000"/>
              </w:rPr>
            </w:pPr>
            <w:r>
              <w:rPr>
                <w:rFonts w:hint="eastAsia" w:ascii="宋体" w:hAnsi="宋体" w:cs="宋体"/>
                <w:bCs/>
                <w:color w:val="000000"/>
              </w:rPr>
              <w:t>聚润达集团</w:t>
            </w:r>
            <w:r>
              <w:rPr>
                <w:rFonts w:hint="eastAsia" w:ascii="宋体" w:hAnsi="宋体" w:cs="宋体"/>
                <w:bCs/>
                <w:color w:val="000000"/>
                <w:lang w:eastAsia="zh-Hans"/>
              </w:rPr>
              <w:t>最终控制人</w:t>
            </w:r>
            <w:r>
              <w:rPr>
                <w:rFonts w:hint="eastAsia" w:ascii="宋体" w:hAnsi="宋体" w:cs="宋体"/>
                <w:bCs/>
                <w:color w:val="000000"/>
              </w:rPr>
              <w:t>为中国</w:t>
            </w:r>
            <w:r>
              <w:rPr>
                <w:rFonts w:hint="eastAsia" w:ascii="宋体" w:hAnsi="宋体" w:cs="宋体"/>
                <w:bCs/>
                <w:color w:val="000000"/>
                <w:lang w:eastAsia="zh-Hans"/>
              </w:rPr>
              <w:t>南方电网</w:t>
            </w:r>
            <w:r>
              <w:rPr>
                <w:rFonts w:hint="eastAsia" w:ascii="宋体" w:hAnsi="宋体" w:cs="宋体"/>
                <w:bCs/>
                <w:color w:val="000000"/>
              </w:rPr>
              <w:t>有限责任</w:t>
            </w:r>
            <w:r>
              <w:rPr>
                <w:rFonts w:hint="eastAsia" w:ascii="宋体" w:hAnsi="宋体" w:cs="宋体"/>
                <w:bCs/>
                <w:color w:val="000000"/>
                <w:lang w:eastAsia="zh-Hans"/>
              </w:rPr>
              <w:t>公司，主要从事</w:t>
            </w:r>
            <w:r>
              <w:rPr>
                <w:rFonts w:hint="eastAsia" w:ascii="宋体" w:hAnsi="宋体" w:cs="宋体"/>
                <w:bCs/>
                <w:color w:val="000000"/>
              </w:rPr>
              <w:t>南方</w:t>
            </w:r>
            <w:r>
              <w:rPr>
                <w:rFonts w:hint="eastAsia" w:ascii="宋体" w:hAnsi="宋体" w:cs="宋体"/>
                <w:bCs/>
                <w:color w:val="000000"/>
                <w:lang w:eastAsia="zh-Hans"/>
              </w:rPr>
              <w:t>五省</w:t>
            </w:r>
            <w:r>
              <w:rPr>
                <w:rFonts w:hint="eastAsia" w:ascii="宋体" w:hAnsi="宋体" w:cs="宋体"/>
                <w:bCs/>
                <w:color w:val="000000"/>
              </w:rPr>
              <w:t>区</w:t>
            </w:r>
            <w:r>
              <w:rPr>
                <w:rFonts w:hint="eastAsia" w:ascii="宋体" w:hAnsi="宋体" w:cs="宋体"/>
                <w:bCs/>
                <w:color w:val="000000"/>
                <w:lang w:eastAsia="zh-Hans"/>
              </w:rPr>
              <w:t>电力供应、区域电网管理、电力交易与调度业务。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883" w:type="dxa"/>
            <w:vMerge w:val="restart"/>
            <w:shd w:val="clear" w:color="auto" w:fill="D9D9D9"/>
            <w:vAlign w:val="center"/>
          </w:tcPr>
          <w:p>
            <w:pPr>
              <w:pStyle w:val="4"/>
              <w:adjustRightInd w:val="0"/>
              <w:snapToGrid w:val="0"/>
              <w:spacing w:after="0"/>
              <w:jc w:val="center"/>
              <w:rPr>
                <w:rFonts w:ascii="宋体" w:hAnsi="宋体" w:cs="宋体"/>
                <w:bCs/>
                <w:color w:val="000000"/>
              </w:rPr>
            </w:pPr>
            <w:r>
              <w:rPr>
                <w:rFonts w:hint="eastAsia" w:ascii="宋体" w:hAnsi="宋体" w:cs="宋体"/>
                <w:bCs/>
                <w:color w:val="000000"/>
              </w:rPr>
              <w:t>简易案件理由</w:t>
            </w:r>
          </w:p>
        </w:tc>
        <w:tc>
          <w:tcPr>
            <w:tcW w:w="7757" w:type="dxa"/>
            <w:gridSpan w:val="2"/>
            <w:vAlign w:val="center"/>
          </w:tcPr>
          <w:p>
            <w:pPr>
              <w:pStyle w:val="4"/>
              <w:adjustRightInd w:val="0"/>
              <w:snapToGrid w:val="0"/>
              <w:spacing w:after="0"/>
              <w:rPr>
                <w:rFonts w:ascii="宋体" w:hAnsi="宋体" w:cs="宋体"/>
                <w:bCs/>
                <w:color w:val="000000"/>
              </w:rPr>
            </w:pPr>
            <w:r>
              <w:rPr>
                <w:rFonts w:hint="eastAsia" w:ascii="宋体" w:hAnsi="宋体" w:cs="宋体"/>
                <w:bCs/>
                <w:color w:val="000000"/>
              </w:rPr>
              <w:sym w:font="Wingdings" w:char="00A8"/>
            </w:r>
            <w:r>
              <w:rPr>
                <w:rFonts w:hint="eastAsia" w:ascii="宋体" w:hAnsi="宋体" w:cs="宋体"/>
                <w:bCs/>
                <w:color w:val="000000"/>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883" w:type="dxa"/>
            <w:vMerge w:val="continue"/>
            <w:shd w:val="clear" w:color="auto" w:fill="D9D9D9"/>
            <w:vAlign w:val="center"/>
          </w:tcPr>
          <w:p>
            <w:pPr>
              <w:pStyle w:val="4"/>
              <w:adjustRightInd w:val="0"/>
              <w:snapToGrid w:val="0"/>
              <w:spacing w:after="0"/>
              <w:jc w:val="center"/>
              <w:rPr>
                <w:rFonts w:ascii="宋体" w:hAnsi="宋体" w:cs="宋体"/>
                <w:bCs/>
                <w:color w:val="000000"/>
              </w:rPr>
            </w:pPr>
          </w:p>
        </w:tc>
        <w:tc>
          <w:tcPr>
            <w:tcW w:w="7757" w:type="dxa"/>
            <w:gridSpan w:val="2"/>
            <w:vAlign w:val="center"/>
          </w:tcPr>
          <w:p>
            <w:pPr>
              <w:pStyle w:val="4"/>
              <w:adjustRightInd w:val="0"/>
              <w:snapToGrid w:val="0"/>
              <w:spacing w:after="0"/>
              <w:rPr>
                <w:rFonts w:ascii="宋体" w:hAnsi="宋体" w:cs="宋体"/>
                <w:bCs/>
                <w:color w:val="000000"/>
              </w:rPr>
            </w:pPr>
            <w:r>
              <w:rPr>
                <w:rFonts w:hint="eastAsia" w:ascii="宋体" w:hAnsi="宋体" w:cs="宋体"/>
                <w:bCs/>
                <w:color w:val="000000"/>
              </w:rPr>
              <w:sym w:font="Wingdings" w:char="00FE"/>
            </w:r>
            <w:r>
              <w:rPr>
                <w:rFonts w:hint="eastAsia" w:ascii="宋体" w:hAnsi="宋体" w:cs="宋体"/>
                <w:bCs/>
                <w:color w:val="000000"/>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883" w:type="dxa"/>
            <w:vMerge w:val="continue"/>
            <w:shd w:val="clear" w:color="auto" w:fill="D9D9D9"/>
            <w:vAlign w:val="center"/>
          </w:tcPr>
          <w:p>
            <w:pPr>
              <w:pStyle w:val="4"/>
              <w:adjustRightInd w:val="0"/>
              <w:snapToGrid w:val="0"/>
              <w:spacing w:after="0"/>
              <w:jc w:val="center"/>
              <w:rPr>
                <w:rFonts w:ascii="宋体" w:hAnsi="宋体" w:cs="宋体"/>
                <w:bCs/>
                <w:color w:val="000000"/>
              </w:rPr>
            </w:pPr>
          </w:p>
        </w:tc>
        <w:tc>
          <w:tcPr>
            <w:tcW w:w="7757" w:type="dxa"/>
            <w:gridSpan w:val="2"/>
            <w:vAlign w:val="center"/>
          </w:tcPr>
          <w:p>
            <w:pPr>
              <w:pStyle w:val="4"/>
              <w:adjustRightInd w:val="0"/>
              <w:snapToGrid w:val="0"/>
              <w:spacing w:after="0"/>
              <w:rPr>
                <w:rFonts w:ascii="宋体" w:hAnsi="宋体" w:cs="宋体"/>
                <w:bCs/>
                <w:color w:val="000000"/>
              </w:rPr>
            </w:pPr>
            <w:r>
              <w:rPr>
                <w:rFonts w:hint="eastAsia" w:ascii="宋体" w:hAnsi="宋体" w:cs="宋体"/>
                <w:bCs/>
                <w:color w:val="000000"/>
              </w:rPr>
              <w:sym w:font="Wingdings" w:char="00A8"/>
            </w:r>
            <w:r>
              <w:rPr>
                <w:rFonts w:hint="eastAsia" w:ascii="宋体" w:hAnsi="宋体" w:cs="宋体"/>
                <w:bCs/>
                <w:color w:val="000000"/>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883" w:type="dxa"/>
            <w:vMerge w:val="continue"/>
            <w:shd w:val="clear" w:color="auto" w:fill="D9D9D9"/>
            <w:vAlign w:val="center"/>
          </w:tcPr>
          <w:p>
            <w:pPr>
              <w:pStyle w:val="4"/>
              <w:adjustRightInd w:val="0"/>
              <w:snapToGrid w:val="0"/>
              <w:spacing w:after="0"/>
              <w:jc w:val="center"/>
              <w:rPr>
                <w:rFonts w:ascii="宋体" w:hAnsi="宋体" w:cs="宋体"/>
                <w:bCs/>
                <w:color w:val="000000"/>
              </w:rPr>
            </w:pPr>
          </w:p>
        </w:tc>
        <w:tc>
          <w:tcPr>
            <w:tcW w:w="7757" w:type="dxa"/>
            <w:gridSpan w:val="2"/>
            <w:vAlign w:val="center"/>
          </w:tcPr>
          <w:p>
            <w:pPr>
              <w:pStyle w:val="4"/>
              <w:adjustRightInd w:val="0"/>
              <w:snapToGrid w:val="0"/>
              <w:spacing w:after="0"/>
              <w:rPr>
                <w:rFonts w:ascii="宋体" w:hAnsi="宋体" w:cs="宋体"/>
                <w:bCs/>
                <w:color w:val="000000"/>
              </w:rPr>
            </w:pPr>
            <w:r>
              <w:rPr>
                <w:rFonts w:hint="eastAsia" w:ascii="宋体" w:hAnsi="宋体" w:cs="宋体"/>
                <w:bCs/>
                <w:color w:val="000000"/>
              </w:rPr>
              <w:sym w:font="Wingdings" w:char="00A8"/>
            </w:r>
            <w:r>
              <w:rPr>
                <w:rFonts w:hint="eastAsia" w:ascii="宋体" w:hAnsi="宋体" w:cs="宋体"/>
                <w:bCs/>
                <w:color w:val="000000"/>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883" w:type="dxa"/>
            <w:vMerge w:val="continue"/>
            <w:shd w:val="clear" w:color="auto" w:fill="D9D9D9"/>
            <w:vAlign w:val="center"/>
          </w:tcPr>
          <w:p>
            <w:pPr>
              <w:pStyle w:val="4"/>
              <w:adjustRightInd w:val="0"/>
              <w:snapToGrid w:val="0"/>
              <w:spacing w:after="0"/>
              <w:jc w:val="center"/>
              <w:rPr>
                <w:rFonts w:ascii="宋体" w:hAnsi="宋体" w:cs="宋体"/>
                <w:bCs/>
                <w:color w:val="000000"/>
              </w:rPr>
            </w:pPr>
          </w:p>
        </w:tc>
        <w:tc>
          <w:tcPr>
            <w:tcW w:w="7757" w:type="dxa"/>
            <w:gridSpan w:val="2"/>
            <w:vAlign w:val="center"/>
          </w:tcPr>
          <w:p>
            <w:pPr>
              <w:pStyle w:val="4"/>
              <w:adjustRightInd w:val="0"/>
              <w:snapToGrid w:val="0"/>
              <w:spacing w:after="0"/>
              <w:rPr>
                <w:rFonts w:ascii="宋体" w:hAnsi="宋体" w:cs="宋体"/>
                <w:bCs/>
                <w:color w:val="000000"/>
              </w:rPr>
            </w:pPr>
            <w:r>
              <w:rPr>
                <w:rFonts w:hint="eastAsia" w:ascii="宋体" w:hAnsi="宋体" w:cs="宋体"/>
                <w:bCs/>
                <w:color w:val="000000"/>
              </w:rPr>
              <w:sym w:font="Wingdings" w:char="00A8"/>
            </w:r>
            <w:r>
              <w:rPr>
                <w:rFonts w:hint="eastAsia" w:ascii="宋体" w:hAnsi="宋体" w:cs="宋体"/>
                <w:bCs/>
                <w:color w:val="000000"/>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883" w:type="dxa"/>
            <w:vMerge w:val="continue"/>
            <w:shd w:val="clear" w:color="auto" w:fill="D9D9D9"/>
            <w:vAlign w:val="center"/>
          </w:tcPr>
          <w:p>
            <w:pPr>
              <w:pStyle w:val="4"/>
              <w:adjustRightInd w:val="0"/>
              <w:snapToGrid w:val="0"/>
              <w:spacing w:after="0"/>
              <w:jc w:val="center"/>
              <w:rPr>
                <w:rFonts w:ascii="宋体" w:hAnsi="宋体" w:cs="宋体"/>
                <w:bCs/>
                <w:color w:val="000000"/>
              </w:rPr>
            </w:pPr>
          </w:p>
        </w:tc>
        <w:tc>
          <w:tcPr>
            <w:tcW w:w="7757" w:type="dxa"/>
            <w:gridSpan w:val="2"/>
            <w:vAlign w:val="center"/>
          </w:tcPr>
          <w:p>
            <w:pPr>
              <w:pStyle w:val="4"/>
              <w:adjustRightInd w:val="0"/>
              <w:snapToGrid w:val="0"/>
              <w:spacing w:after="0"/>
              <w:rPr>
                <w:rFonts w:ascii="宋体" w:hAnsi="宋体" w:cs="宋体"/>
                <w:bCs/>
                <w:color w:val="000000"/>
              </w:rPr>
            </w:pPr>
            <w:r>
              <w:rPr>
                <w:rFonts w:hint="eastAsia" w:ascii="宋体" w:hAnsi="宋体" w:cs="宋体"/>
                <w:bCs/>
                <w:color w:val="000000"/>
              </w:rPr>
              <w:sym w:font="Wingdings" w:char="00A8"/>
            </w:r>
            <w:r>
              <w:rPr>
                <w:rFonts w:hint="eastAsia" w:ascii="宋体" w:hAnsi="宋体" w:cs="宋体"/>
                <w:bCs/>
                <w:color w:val="000000"/>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0" w:hRule="atLeast"/>
          <w:jc w:val="center"/>
        </w:trPr>
        <w:tc>
          <w:tcPr>
            <w:tcW w:w="1883" w:type="dxa"/>
            <w:shd w:val="clear" w:color="auto" w:fill="D9D9D9"/>
            <w:vAlign w:val="center"/>
          </w:tcPr>
          <w:p>
            <w:pPr>
              <w:pStyle w:val="4"/>
              <w:adjustRightInd w:val="0"/>
              <w:snapToGrid w:val="0"/>
              <w:spacing w:after="0"/>
              <w:jc w:val="center"/>
              <w:rPr>
                <w:rFonts w:ascii="宋体" w:hAnsi="宋体" w:cs="宋体"/>
                <w:bCs/>
                <w:color w:val="000000"/>
              </w:rPr>
            </w:pPr>
            <w:r>
              <w:rPr>
                <w:rFonts w:hint="eastAsia" w:ascii="宋体" w:hAnsi="宋体" w:cs="宋体"/>
                <w:bCs/>
                <w:color w:val="000000"/>
              </w:rPr>
              <w:t>备注</w:t>
            </w:r>
          </w:p>
        </w:tc>
        <w:tc>
          <w:tcPr>
            <w:tcW w:w="7757" w:type="dxa"/>
            <w:gridSpan w:val="2"/>
            <w:vAlign w:val="center"/>
          </w:tcPr>
          <w:p>
            <w:pPr>
              <w:pStyle w:val="4"/>
              <w:adjustRightInd w:val="0"/>
              <w:snapToGrid w:val="0"/>
              <w:spacing w:after="0"/>
              <w:rPr>
                <w:rFonts w:ascii="宋体" w:hAnsi="宋体" w:cs="宋体"/>
                <w:b/>
                <w:color w:val="000000"/>
              </w:rPr>
            </w:pPr>
            <w:r>
              <w:rPr>
                <w:rFonts w:hint="eastAsia" w:ascii="宋体" w:hAnsi="宋体" w:cs="宋体"/>
                <w:b/>
                <w:color w:val="000000"/>
              </w:rPr>
              <w:t>纵向关联：</w:t>
            </w:r>
          </w:p>
          <w:p>
            <w:pPr>
              <w:pStyle w:val="4"/>
              <w:adjustRightInd w:val="0"/>
              <w:snapToGrid w:val="0"/>
              <w:spacing w:after="0"/>
              <w:rPr>
                <w:rFonts w:ascii="宋体" w:hAnsi="宋体" w:cs="宋体"/>
                <w:bCs/>
                <w:color w:val="000000"/>
              </w:rPr>
            </w:pPr>
            <w:r>
              <w:rPr>
                <w:rFonts w:hint="eastAsia" w:ascii="宋体" w:hAnsi="宋体" w:cs="宋体"/>
                <w:bCs/>
                <w:color w:val="000000"/>
              </w:rPr>
              <w:t>上游：202</w:t>
            </w:r>
            <w:r>
              <w:rPr>
                <w:rFonts w:ascii="宋体" w:hAnsi="宋体" w:cs="宋体"/>
                <w:bCs/>
                <w:color w:val="000000"/>
              </w:rPr>
              <w:t>2</w:t>
            </w:r>
            <w:r>
              <w:rPr>
                <w:rFonts w:hint="eastAsia" w:ascii="宋体" w:hAnsi="宋体" w:cs="宋体"/>
                <w:bCs/>
                <w:color w:val="000000"/>
              </w:rPr>
              <w:t>年中国境内</w:t>
            </w:r>
            <w:r>
              <w:rPr>
                <w:rFonts w:hint="eastAsia"/>
              </w:rPr>
              <w:t>电力工程施工</w:t>
            </w:r>
            <w:r>
              <w:rPr>
                <w:rFonts w:hint="eastAsia" w:ascii="宋体" w:hAnsi="宋体" w:cs="宋体"/>
                <w:bCs/>
                <w:color w:val="000000"/>
              </w:rPr>
              <w:t>市场：</w:t>
            </w:r>
          </w:p>
          <w:p>
            <w:pPr>
              <w:pStyle w:val="4"/>
              <w:adjustRightInd w:val="0"/>
              <w:snapToGrid w:val="0"/>
              <w:spacing w:after="0"/>
              <w:rPr>
                <w:rFonts w:ascii="宋体" w:hAnsi="宋体" w:cs="宋体"/>
                <w:bCs/>
                <w:color w:val="000000"/>
              </w:rPr>
            </w:pPr>
            <w:r>
              <w:rPr>
                <w:rFonts w:hint="eastAsia" w:ascii="宋体" w:hAnsi="宋体" w:cs="宋体"/>
                <w:bCs/>
                <w:color w:val="000000"/>
              </w:rPr>
              <w:t>聚润达集团：0-5%</w:t>
            </w:r>
          </w:p>
          <w:p>
            <w:pPr>
              <w:pStyle w:val="4"/>
              <w:adjustRightInd w:val="0"/>
              <w:snapToGrid w:val="0"/>
              <w:spacing w:after="0"/>
              <w:rPr>
                <w:rFonts w:ascii="宋体" w:hAnsi="宋体" w:cs="宋体"/>
                <w:bCs/>
                <w:color w:val="000000"/>
              </w:rPr>
            </w:pPr>
            <w:r>
              <w:rPr>
                <w:rFonts w:hint="eastAsia" w:ascii="宋体" w:hAnsi="宋体" w:cs="宋体"/>
                <w:bCs/>
                <w:color w:val="000000"/>
              </w:rPr>
              <w:t>下游：202</w:t>
            </w:r>
            <w:r>
              <w:rPr>
                <w:rFonts w:ascii="宋体" w:hAnsi="宋体" w:cs="宋体"/>
                <w:bCs/>
                <w:color w:val="000000"/>
              </w:rPr>
              <w:t>2</w:t>
            </w:r>
            <w:r>
              <w:rPr>
                <w:rFonts w:hint="eastAsia" w:ascii="宋体" w:hAnsi="宋体" w:cs="宋体"/>
                <w:bCs/>
                <w:color w:val="000000"/>
              </w:rPr>
              <w:t>年中国境内</w:t>
            </w:r>
            <w:r>
              <w:rPr>
                <w:rFonts w:hint="eastAsia"/>
              </w:rPr>
              <w:t>房屋建筑工程施工总承包市场</w:t>
            </w:r>
            <w:r>
              <w:rPr>
                <w:rFonts w:hint="eastAsia" w:ascii="宋体" w:hAnsi="宋体" w:cs="宋体"/>
                <w:bCs/>
                <w:color w:val="000000"/>
              </w:rPr>
              <w:t>：</w:t>
            </w:r>
          </w:p>
          <w:p>
            <w:pPr>
              <w:pStyle w:val="4"/>
              <w:adjustRightInd w:val="0"/>
              <w:snapToGrid w:val="0"/>
              <w:spacing w:after="0"/>
              <w:rPr>
                <w:rFonts w:ascii="宋体" w:hAnsi="宋体" w:cs="宋体"/>
                <w:bCs/>
                <w:color w:val="000000"/>
              </w:rPr>
            </w:pPr>
            <w:r>
              <w:rPr>
                <w:rFonts w:hint="eastAsia" w:ascii="宋体" w:hAnsi="宋体" w:cs="宋体"/>
                <w:bCs/>
                <w:color w:val="000000"/>
              </w:rPr>
              <w:t>莞建公司：0-5%</w:t>
            </w:r>
          </w:p>
        </w:tc>
      </w:tr>
    </w:tbl>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Helvetica Neue">
    <w:altName w:val="Times New Roman"/>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3C4FB4"/>
    <w:rsid w:val="3A3C4F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Normal Indent"/>
    <w:basedOn w:val="1"/>
    <w:next w:val="1"/>
    <w:qFormat/>
    <w:uiPriority w:val="99"/>
  </w:style>
  <w:style w:type="paragraph" w:styleId="4">
    <w:name w:val="Body Text"/>
    <w:basedOn w:val="1"/>
    <w:unhideWhenUsed/>
    <w:qFormat/>
    <w:uiPriority w:val="99"/>
    <w:pPr>
      <w:spacing w:after="120"/>
    </w:pPr>
  </w:style>
  <w:style w:type="paragraph" w:styleId="5">
    <w:name w:val="Body Text First Indent"/>
    <w:basedOn w:val="4"/>
    <w:qFormat/>
    <w:uiPriority w:val="0"/>
    <w:pPr>
      <w:ind w:firstLine="420" w:firstLineChars="1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0</Words>
  <Characters>0</Characters>
  <Lines>0</Lines>
  <Paragraphs>0</Paragraphs>
  <TotalTime>0</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2023-05-30T02:14:00Z</dcterms:created>
  <dc:creator>张斌（反垄断处）</dc:creator>
  <cp:lastModifiedBy>张斌（反垄断处）</cp:lastModifiedBy>
  <dcterms:modified xsi:type="dcterms:W3CDTF">2023-05-30T02:14:56Z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2535EB4544F340E3B647E69384D53889</vt:lpwstr>
  </property>
</Properties>
</file>