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eastAsia="宋体" w:cs="Times New Roman"/>
          <w:kern w:val="2"/>
          <w:sz w:val="21"/>
          <w:szCs w:val="24"/>
          <w:lang w:val="en-US" w:eastAsia="zh-CN" w:bidi="ar-SA"/>
        </w:rPr>
      </w:pPr>
      <w:r>
        <w:rPr>
          <w:rFonts w:hint="eastAsia" w:ascii="黑体" w:hAnsi="黑体" w:eastAsia="黑体" w:cs="黑体"/>
          <w:bCs/>
          <w:sz w:val="36"/>
          <w:szCs w:val="36"/>
          <w:lang w:val="en-US" w:eastAsia="zh-CN"/>
        </w:rPr>
        <w:t xml:space="preserve"> </w:t>
      </w:r>
      <w:r>
        <w:rPr>
          <w:rFonts w:hint="eastAsia" w:ascii="黑体" w:hAnsi="黑体" w:eastAsia="黑体" w:cs="黑体"/>
          <w:bCs/>
          <w:sz w:val="36"/>
          <w:szCs w:val="36"/>
        </w:rPr>
        <w:t>经营者集中简易案件公示表</w:t>
      </w:r>
    </w:p>
    <w:tbl>
      <w:tblPr>
        <w:tblStyle w:val="4"/>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noWrap w:val="0"/>
            <w:vAlign w:val="center"/>
          </w:tcPr>
          <w:p>
            <w:pPr>
              <w:pStyle w:val="3"/>
              <w:adjustRightInd w:val="0"/>
              <w:snapToGrid w:val="0"/>
              <w:spacing w:after="0"/>
              <w:jc w:val="center"/>
              <w:rPr>
                <w:rFonts w:hint="eastAsia" w:ascii="宋体" w:hAnsi="宋体" w:cs="宋体"/>
                <w:bCs/>
                <w:color w:val="000000"/>
                <w:lang w:val="en-US"/>
              </w:rPr>
            </w:pPr>
            <w:r>
              <w:rPr>
                <w:rFonts w:hint="eastAsia" w:ascii="宋体" w:hAnsi="宋体" w:cs="宋体"/>
                <w:bCs/>
                <w:color w:val="000000"/>
              </w:rPr>
              <w:t>案件名称</w:t>
            </w:r>
          </w:p>
        </w:tc>
        <w:tc>
          <w:tcPr>
            <w:tcW w:w="7700" w:type="dxa"/>
            <w:gridSpan w:val="2"/>
            <w:noWrap w:val="0"/>
            <w:vAlign w:val="center"/>
          </w:tcPr>
          <w:p>
            <w:pPr>
              <w:adjustRightInd w:val="0"/>
              <w:snapToGrid w:val="0"/>
              <w:spacing w:after="0"/>
              <w:rPr>
                <w:rFonts w:hint="eastAsia" w:ascii="宋体" w:hAnsi="宋体" w:cs="宋体"/>
                <w:bCs/>
                <w:color w:val="000000"/>
                <w:lang w:val="en-US"/>
              </w:rPr>
            </w:pPr>
            <w:r>
              <w:rPr>
                <w:rFonts w:hint="eastAsia" w:ascii="宋体" w:hAnsi="宋体" w:cs="宋体"/>
                <w:bCs/>
                <w:color w:val="000000"/>
                <w:lang w:val="en-US"/>
              </w:rPr>
              <w:t>广州市番禺区香江实业有限公司与广东省润投咨询有限公司新设合营企业案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noWrap w:val="0"/>
            <w:vAlign w:val="center"/>
          </w:tcPr>
          <w:p>
            <w:pPr>
              <w:pStyle w:val="3"/>
              <w:adjustRightInd w:val="0"/>
              <w:snapToGrid w:val="0"/>
              <w:spacing w:after="0"/>
              <w:jc w:val="center"/>
              <w:rPr>
                <w:rFonts w:hint="eastAsia" w:ascii="宋体" w:hAnsi="宋体" w:cs="宋体"/>
                <w:bCs/>
                <w:color w:val="000000"/>
                <w:lang w:val="en-US" w:eastAsia="zh-CN"/>
              </w:rPr>
            </w:pPr>
            <w:r>
              <w:rPr>
                <w:rFonts w:hint="eastAsia" w:ascii="宋体" w:hAnsi="宋体" w:cs="宋体"/>
                <w:bCs/>
                <w:color w:val="000000"/>
                <w:lang w:eastAsia="zh-CN"/>
              </w:rPr>
              <w:t>交易概况（限200字内）</w:t>
            </w:r>
          </w:p>
        </w:tc>
        <w:tc>
          <w:tcPr>
            <w:tcW w:w="7700" w:type="dxa"/>
            <w:gridSpan w:val="2"/>
            <w:noWrap w:val="0"/>
            <w:vAlign w:val="center"/>
          </w:tcPr>
          <w:p>
            <w:pPr>
              <w:widowControl w:val="0"/>
              <w:adjustRightInd w:val="0"/>
              <w:snapToGrid w:val="0"/>
              <w:spacing w:after="0"/>
              <w:rPr>
                <w:rFonts w:ascii="宋体" w:hAnsi="宋体" w:cs="宋体"/>
                <w:lang w:val="en-US"/>
              </w:rPr>
            </w:pPr>
            <w:r>
              <w:rPr>
                <w:rFonts w:hint="eastAsia" w:ascii="宋体" w:hAnsi="宋体" w:cs="宋体"/>
                <w:lang w:val="en-US"/>
              </w:rPr>
              <w:t>广州市番禺区香江实业有限公司（</w:t>
            </w:r>
            <w:r>
              <w:rPr>
                <w:rFonts w:hint="eastAsia" w:ascii="宋体" w:hAnsi="宋体" w:cs="宋体"/>
                <w:b/>
                <w:bCs/>
                <w:lang w:val="en-US"/>
              </w:rPr>
              <w:t>“香江实业”</w:t>
            </w:r>
            <w:r>
              <w:rPr>
                <w:rFonts w:hint="eastAsia" w:ascii="宋体" w:hAnsi="宋体" w:cs="宋体"/>
                <w:lang w:val="en-US"/>
              </w:rPr>
              <w:t>）与广东省润投咨询有限公司（</w:t>
            </w:r>
            <w:r>
              <w:rPr>
                <w:rFonts w:hint="eastAsia" w:ascii="宋体" w:hAnsi="宋体" w:cs="宋体"/>
                <w:b/>
                <w:bCs/>
                <w:lang w:val="en-US"/>
              </w:rPr>
              <w:t>“润投咨询”</w:t>
            </w:r>
            <w:r>
              <w:rPr>
                <w:rFonts w:hint="eastAsia" w:ascii="宋体" w:hAnsi="宋体" w:cs="宋体"/>
                <w:lang w:val="en-US"/>
              </w:rPr>
              <w:t>）签署《投资合作协议》，拟共同新设合营企业。合营企业拟在广州市从事商品住宅的开发和销售、写字楼的开发和销售业务。交易后，香江实业和润投咨询将分别持有合营企业50%的股权，共同控制合营企业。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940" w:type="dxa"/>
            <w:vMerge w:val="restart"/>
            <w:shd w:val="clear" w:color="auto" w:fill="D9D9D9"/>
            <w:noWrap w:val="0"/>
            <w:vAlign w:val="center"/>
          </w:tcPr>
          <w:p>
            <w:pPr>
              <w:pStyle w:val="3"/>
              <w:adjustRightInd w:val="0"/>
              <w:snapToGrid w:val="0"/>
              <w:spacing w:after="0"/>
              <w:jc w:val="center"/>
              <w:rPr>
                <w:rFonts w:hint="eastAsia" w:ascii="宋体" w:hAnsi="宋体" w:cs="宋体"/>
                <w:bCs/>
                <w:color w:val="000000"/>
                <w:lang w:val="en-US" w:eastAsia="zh-CN"/>
              </w:rPr>
            </w:pPr>
            <w:r>
              <w:rPr>
                <w:rFonts w:hint="eastAsia" w:ascii="宋体" w:hAnsi="宋体" w:cs="宋体"/>
                <w:bCs/>
                <w:color w:val="000000"/>
                <w:lang w:eastAsia="zh-CN"/>
              </w:rPr>
              <w:t>参与集中的经营者简介（每个限</w:t>
            </w:r>
            <w:r>
              <w:rPr>
                <w:rFonts w:hint="eastAsia" w:ascii="宋体" w:hAnsi="宋体" w:cs="宋体"/>
                <w:bCs/>
                <w:color w:val="000000"/>
                <w:lang w:val="en-US" w:eastAsia="zh-CN"/>
              </w:rPr>
              <w:t>100字以内</w:t>
            </w:r>
            <w:r>
              <w:rPr>
                <w:rFonts w:hint="eastAsia" w:ascii="宋体" w:hAnsi="宋体" w:cs="宋体"/>
                <w:bCs/>
                <w:color w:val="000000"/>
                <w:lang w:eastAsia="zh-CN"/>
              </w:rPr>
              <w:t>）</w:t>
            </w:r>
          </w:p>
        </w:tc>
        <w:tc>
          <w:tcPr>
            <w:tcW w:w="1607" w:type="dxa"/>
            <w:noWrap w:val="0"/>
            <w:vAlign w:val="center"/>
          </w:tcPr>
          <w:p>
            <w:pPr>
              <w:pStyle w:val="3"/>
              <w:adjustRightInd w:val="0"/>
              <w:snapToGrid w:val="0"/>
              <w:spacing w:after="0"/>
              <w:rPr>
                <w:rFonts w:hint="eastAsia" w:ascii="宋体" w:hAnsi="宋体" w:cs="宋体"/>
                <w:bCs/>
                <w:color w:val="000000"/>
                <w:lang w:eastAsia="zh-CN"/>
              </w:rPr>
            </w:pPr>
            <w:r>
              <w:rPr>
                <w:rFonts w:hint="eastAsia" w:ascii="宋体" w:hAnsi="宋体" w:cs="宋体"/>
                <w:bCs/>
                <w:color w:val="000000"/>
                <w:lang w:val="en-US" w:eastAsia="zh-CN"/>
              </w:rPr>
              <w:t>1.香江实业</w:t>
            </w:r>
          </w:p>
        </w:tc>
        <w:tc>
          <w:tcPr>
            <w:tcW w:w="6093" w:type="dxa"/>
            <w:noWrap w:val="0"/>
            <w:vAlign w:val="center"/>
          </w:tcPr>
          <w:p>
            <w:pPr>
              <w:adjustRightInd w:val="0"/>
              <w:snapToGrid w:val="0"/>
              <w:spacing w:after="0"/>
              <w:rPr>
                <w:rFonts w:hint="eastAsia" w:ascii="宋体" w:hAnsi="宋体" w:cs="宋体"/>
                <w:bCs/>
                <w:color w:val="000000"/>
                <w:lang w:val="en-US"/>
              </w:rPr>
            </w:pPr>
            <w:r>
              <w:rPr>
                <w:rFonts w:hint="eastAsia" w:ascii="宋体" w:hAnsi="宋体" w:cs="宋体"/>
                <w:bCs/>
                <w:color w:val="000000"/>
                <w:lang w:val="en-US"/>
              </w:rPr>
              <w:t>香江实业于1992年10月22日成立于广州市番禺区，主要从事广州地区的住宅房地产开发业务。</w:t>
            </w:r>
          </w:p>
          <w:p>
            <w:pPr>
              <w:adjustRightInd w:val="0"/>
              <w:snapToGrid w:val="0"/>
              <w:spacing w:after="0"/>
              <w:rPr>
                <w:rFonts w:ascii="宋体" w:hAnsi="宋体" w:cs="宋体"/>
                <w:bCs/>
                <w:color w:val="000000"/>
                <w:lang w:val="en-US"/>
              </w:rPr>
            </w:pPr>
            <w:r>
              <w:rPr>
                <w:rFonts w:hint="eastAsia" w:ascii="宋体" w:hAnsi="宋体" w:cs="宋体"/>
                <w:bCs/>
                <w:color w:val="000000"/>
                <w:lang w:val="en-US"/>
              </w:rPr>
              <w:t>香江实业的最终控制人为苏志刚，其控制的长隆集团是一家集主题公园、度假酒店、文化演艺、商务会展、餐饮休闲于一体的文化旅游集团。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noWrap w:val="0"/>
            <w:vAlign w:val="center"/>
          </w:tcPr>
          <w:p>
            <w:pPr>
              <w:pStyle w:val="3"/>
              <w:adjustRightInd w:val="0"/>
              <w:snapToGrid w:val="0"/>
              <w:spacing w:after="0"/>
              <w:jc w:val="center"/>
              <w:rPr>
                <w:rFonts w:hint="eastAsia" w:ascii="宋体" w:hAnsi="宋体" w:cs="宋体"/>
                <w:bCs/>
                <w:color w:val="000000"/>
                <w:lang w:val="en-US" w:eastAsia="zh-CN"/>
              </w:rPr>
            </w:pPr>
          </w:p>
        </w:tc>
        <w:tc>
          <w:tcPr>
            <w:tcW w:w="1607" w:type="dxa"/>
            <w:noWrap w:val="0"/>
            <w:vAlign w:val="center"/>
          </w:tcPr>
          <w:p>
            <w:pPr>
              <w:pStyle w:val="3"/>
              <w:adjustRightInd w:val="0"/>
              <w:snapToGrid w:val="0"/>
              <w:spacing w:after="0"/>
              <w:rPr>
                <w:rFonts w:hint="eastAsia" w:ascii="宋体" w:hAnsi="宋体" w:cs="宋体"/>
                <w:bCs/>
                <w:color w:val="000000"/>
                <w:lang w:eastAsia="zh-CN"/>
              </w:rPr>
            </w:pPr>
            <w:r>
              <w:rPr>
                <w:rFonts w:hint="eastAsia" w:ascii="宋体" w:hAnsi="宋体" w:cs="宋体"/>
                <w:bCs/>
                <w:color w:val="000000"/>
                <w:lang w:val="en-US" w:eastAsia="zh-CN"/>
              </w:rPr>
              <w:t>2.</w:t>
            </w:r>
            <w:r>
              <w:rPr>
                <w:rFonts w:hint="eastAsia" w:ascii="宋体" w:hAnsi="宋体" w:cs="宋体"/>
                <w:bCs/>
                <w:color w:val="000000"/>
                <w:lang w:eastAsia="zh-CN"/>
              </w:rPr>
              <w:t>润投咨询</w:t>
            </w:r>
          </w:p>
        </w:tc>
        <w:tc>
          <w:tcPr>
            <w:tcW w:w="6093" w:type="dxa"/>
            <w:noWrap w:val="0"/>
            <w:vAlign w:val="center"/>
          </w:tcPr>
          <w:p>
            <w:pPr>
              <w:adjustRightInd w:val="0"/>
              <w:snapToGrid w:val="0"/>
              <w:spacing w:after="0"/>
              <w:rPr>
                <w:rFonts w:hint="eastAsia" w:ascii="宋体" w:hAnsi="宋体" w:cs="宋体"/>
                <w:bCs/>
                <w:color w:val="000000"/>
                <w:lang w:val="en-US"/>
              </w:rPr>
            </w:pPr>
            <w:r>
              <w:rPr>
                <w:rFonts w:hint="eastAsia" w:ascii="宋体" w:hAnsi="宋体" w:cs="宋体"/>
                <w:bCs/>
                <w:color w:val="000000"/>
              </w:rPr>
              <w:t>润投咨询于</w:t>
            </w:r>
            <w:r>
              <w:rPr>
                <w:rFonts w:hint="eastAsia" w:ascii="宋体" w:hAnsi="宋体" w:cs="宋体"/>
                <w:bCs/>
                <w:color w:val="000000"/>
                <w:lang w:val="en-US"/>
              </w:rPr>
              <w:t>2021年6月7日成立于广州市南沙区，润投咨询为华润置地下属境内持股平台，主要持有境内的房地产资产。</w:t>
            </w:r>
          </w:p>
          <w:p>
            <w:pPr>
              <w:adjustRightInd w:val="0"/>
              <w:snapToGrid w:val="0"/>
              <w:spacing w:after="0"/>
              <w:rPr>
                <w:rFonts w:ascii="宋体" w:hAnsi="宋体" w:cs="宋体"/>
                <w:bCs/>
                <w:color w:val="000000"/>
                <w:lang w:val="en-US"/>
              </w:rPr>
            </w:pPr>
            <w:r>
              <w:rPr>
                <w:rFonts w:hint="eastAsia" w:ascii="宋体" w:hAnsi="宋体" w:cs="宋体"/>
                <w:bCs/>
                <w:color w:val="000000"/>
                <w:lang w:val="en-US"/>
              </w:rPr>
              <w:t>润投咨询的最终控制人为中国华润有限公司，主要业务为消费品（含零售、啤酒、食品、饮料）、健康医疗、城市建设和运营、能源服务、科技和金融等。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noWrap w:val="0"/>
            <w:vAlign w:val="center"/>
          </w:tcPr>
          <w:p>
            <w:pPr>
              <w:pStyle w:val="3"/>
              <w:adjustRightInd w:val="0"/>
              <w:snapToGrid w:val="0"/>
              <w:spacing w:after="0"/>
              <w:jc w:val="center"/>
              <w:rPr>
                <w:rFonts w:hint="eastAsia" w:ascii="宋体" w:hAnsi="宋体" w:cs="宋体"/>
                <w:bCs/>
                <w:color w:val="000000"/>
                <w:lang w:val="en-US" w:eastAsia="zh-CN"/>
              </w:rPr>
            </w:pPr>
            <w:r>
              <w:rPr>
                <w:rFonts w:hint="eastAsia" w:ascii="宋体" w:hAnsi="宋体" w:cs="宋体"/>
                <w:bCs/>
                <w:color w:val="000000"/>
                <w:lang w:eastAsia="zh-CN"/>
              </w:rPr>
              <w:t>简易案件理由（可以单选，也可以多选）</w:t>
            </w:r>
          </w:p>
        </w:tc>
        <w:tc>
          <w:tcPr>
            <w:tcW w:w="7700" w:type="dxa"/>
            <w:gridSpan w:val="2"/>
            <w:noWrap w:val="0"/>
            <w:vAlign w:val="center"/>
          </w:tcPr>
          <w:p>
            <w:pPr>
              <w:pStyle w:val="3"/>
              <w:adjustRightInd w:val="0"/>
              <w:snapToGrid w:val="0"/>
              <w:spacing w:after="0"/>
              <w:rPr>
                <w:rFonts w:hint="eastAsia" w:ascii="宋体" w:hAnsi="宋体" w:cs="宋体"/>
                <w:bCs/>
                <w:color w:val="000000"/>
                <w:lang w:val="en-US" w:eastAsia="zh-CN"/>
              </w:rPr>
            </w:pPr>
            <w:r>
              <w:rPr>
                <w:rFonts w:hint="eastAsia" w:ascii="宋体" w:hAnsi="宋体" w:cs="宋体"/>
                <w:bCs/>
                <w:color w:val="000000"/>
                <w:lang w:eastAsia="zh-CN"/>
              </w:rPr>
              <w:sym w:font="Wingdings" w:char="00FE"/>
            </w:r>
            <w:r>
              <w:rPr>
                <w:rFonts w:hint="eastAsia" w:ascii="宋体" w:hAnsi="宋体" w:cs="宋体"/>
                <w:bCs/>
                <w:color w:val="000000"/>
                <w:lang w:eastAsia="zh-CN"/>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noWrap w:val="0"/>
            <w:vAlign w:val="center"/>
          </w:tcPr>
          <w:p>
            <w:pPr>
              <w:pStyle w:val="3"/>
              <w:adjustRightInd w:val="0"/>
              <w:snapToGrid w:val="0"/>
              <w:spacing w:after="0"/>
              <w:jc w:val="center"/>
              <w:rPr>
                <w:rFonts w:hint="eastAsia" w:ascii="宋体" w:hAnsi="宋体" w:cs="宋体"/>
                <w:bCs/>
                <w:color w:val="000000"/>
                <w:lang w:val="en-US" w:eastAsia="zh-CN"/>
              </w:rPr>
            </w:pPr>
          </w:p>
        </w:tc>
        <w:tc>
          <w:tcPr>
            <w:tcW w:w="7700" w:type="dxa"/>
            <w:gridSpan w:val="2"/>
            <w:noWrap w:val="0"/>
            <w:vAlign w:val="center"/>
          </w:tcPr>
          <w:p>
            <w:pPr>
              <w:pStyle w:val="3"/>
              <w:adjustRightInd w:val="0"/>
              <w:snapToGrid w:val="0"/>
              <w:spacing w:after="0"/>
              <w:rPr>
                <w:rFonts w:hint="eastAsia" w:ascii="宋体" w:hAnsi="宋体" w:cs="宋体"/>
                <w:bCs/>
                <w:color w:val="000000"/>
                <w:lang w:val="en-US" w:eastAsia="zh-CN"/>
              </w:rPr>
            </w:pPr>
            <w:r>
              <w:rPr>
                <w:rFonts w:hint="eastAsia" w:ascii="宋体" w:hAnsi="宋体" w:cs="宋体"/>
                <w:bCs/>
                <w:color w:val="000000"/>
                <w:lang w:eastAsia="zh-CN"/>
              </w:rPr>
              <w:sym w:font="Wingdings" w:char="00FE"/>
            </w:r>
            <w:r>
              <w:rPr>
                <w:rFonts w:hint="eastAsia" w:ascii="宋体" w:hAnsi="宋体" w:cs="宋体"/>
                <w:bCs/>
                <w:color w:val="000000"/>
                <w:lang w:eastAsia="zh-CN"/>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noWrap w:val="0"/>
            <w:vAlign w:val="center"/>
          </w:tcPr>
          <w:p>
            <w:pPr>
              <w:pStyle w:val="3"/>
              <w:adjustRightInd w:val="0"/>
              <w:snapToGrid w:val="0"/>
              <w:spacing w:after="0"/>
              <w:jc w:val="center"/>
              <w:rPr>
                <w:rFonts w:hint="eastAsia" w:ascii="宋体" w:hAnsi="宋体" w:cs="宋体"/>
                <w:bCs/>
                <w:color w:val="000000"/>
                <w:lang w:val="en-US" w:eastAsia="zh-CN"/>
              </w:rPr>
            </w:pPr>
          </w:p>
        </w:tc>
        <w:tc>
          <w:tcPr>
            <w:tcW w:w="7700" w:type="dxa"/>
            <w:gridSpan w:val="2"/>
            <w:noWrap w:val="0"/>
            <w:vAlign w:val="center"/>
          </w:tcPr>
          <w:p>
            <w:pPr>
              <w:pStyle w:val="3"/>
              <w:adjustRightInd w:val="0"/>
              <w:snapToGrid w:val="0"/>
              <w:spacing w:after="0"/>
              <w:rPr>
                <w:rFonts w:hint="eastAsia" w:ascii="宋体" w:hAnsi="宋体" w:cs="宋体"/>
                <w:bCs/>
                <w:color w:val="000000"/>
                <w:lang w:val="en-US" w:eastAsia="zh-CN"/>
              </w:rPr>
            </w:pPr>
            <w:r>
              <w:rPr>
                <w:rFonts w:hint="eastAsia" w:ascii="宋体" w:hAnsi="宋体" w:cs="宋体"/>
                <w:bCs/>
                <w:color w:val="000000"/>
                <w:lang w:eastAsia="zh-CN"/>
              </w:rPr>
              <w:sym w:font="Wingdings" w:char="00A8"/>
            </w:r>
            <w:r>
              <w:rPr>
                <w:rFonts w:hint="eastAsia" w:ascii="宋体" w:hAnsi="宋体" w:cs="宋体"/>
                <w:bCs/>
                <w:color w:val="000000"/>
                <w:lang w:eastAsia="zh-CN"/>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0" w:type="dxa"/>
            <w:vMerge w:val="continue"/>
            <w:shd w:val="clear" w:color="auto" w:fill="D9D9D9"/>
            <w:noWrap w:val="0"/>
            <w:vAlign w:val="center"/>
          </w:tcPr>
          <w:p>
            <w:pPr>
              <w:pStyle w:val="3"/>
              <w:adjustRightInd w:val="0"/>
              <w:snapToGrid w:val="0"/>
              <w:spacing w:after="0"/>
              <w:jc w:val="center"/>
              <w:rPr>
                <w:rFonts w:hint="eastAsia" w:ascii="宋体" w:hAnsi="宋体" w:cs="宋体"/>
                <w:bCs/>
                <w:color w:val="000000"/>
                <w:lang w:val="en-US" w:eastAsia="zh-CN"/>
              </w:rPr>
            </w:pPr>
          </w:p>
        </w:tc>
        <w:tc>
          <w:tcPr>
            <w:tcW w:w="7700" w:type="dxa"/>
            <w:gridSpan w:val="2"/>
            <w:noWrap w:val="0"/>
            <w:vAlign w:val="center"/>
          </w:tcPr>
          <w:p>
            <w:pPr>
              <w:pStyle w:val="3"/>
              <w:adjustRightInd w:val="0"/>
              <w:snapToGrid w:val="0"/>
              <w:spacing w:after="0"/>
              <w:rPr>
                <w:rFonts w:hint="eastAsia" w:ascii="宋体" w:hAnsi="宋体" w:cs="宋体"/>
                <w:bCs/>
                <w:color w:val="000000"/>
                <w:lang w:val="en-US" w:eastAsia="zh-CN"/>
              </w:rPr>
            </w:pPr>
            <w:r>
              <w:rPr>
                <w:rFonts w:hint="eastAsia" w:ascii="宋体" w:hAnsi="宋体" w:cs="宋体"/>
                <w:bCs/>
                <w:color w:val="000000"/>
                <w:lang w:eastAsia="zh-CN"/>
              </w:rPr>
              <w:sym w:font="Wingdings" w:char="00A8"/>
            </w:r>
            <w:r>
              <w:rPr>
                <w:rFonts w:hint="eastAsia" w:ascii="宋体" w:hAnsi="宋体" w:cs="宋体"/>
                <w:bCs/>
                <w:color w:val="000000"/>
                <w:lang w:eastAsia="zh-CN"/>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noWrap w:val="0"/>
            <w:vAlign w:val="center"/>
          </w:tcPr>
          <w:p>
            <w:pPr>
              <w:pStyle w:val="3"/>
              <w:adjustRightInd w:val="0"/>
              <w:snapToGrid w:val="0"/>
              <w:spacing w:after="0"/>
              <w:jc w:val="center"/>
              <w:rPr>
                <w:rFonts w:hint="eastAsia" w:ascii="宋体" w:hAnsi="宋体" w:cs="宋体"/>
                <w:bCs/>
                <w:color w:val="000000"/>
                <w:lang w:val="en-US" w:eastAsia="zh-CN"/>
              </w:rPr>
            </w:pPr>
          </w:p>
        </w:tc>
        <w:tc>
          <w:tcPr>
            <w:tcW w:w="7700" w:type="dxa"/>
            <w:gridSpan w:val="2"/>
            <w:noWrap w:val="0"/>
            <w:vAlign w:val="center"/>
          </w:tcPr>
          <w:p>
            <w:pPr>
              <w:pStyle w:val="3"/>
              <w:adjustRightInd w:val="0"/>
              <w:snapToGrid w:val="0"/>
              <w:spacing w:after="0"/>
              <w:rPr>
                <w:rFonts w:hint="eastAsia" w:ascii="宋体" w:hAnsi="宋体" w:cs="宋体"/>
                <w:bCs/>
                <w:color w:val="000000"/>
                <w:lang w:val="en-US" w:eastAsia="zh-CN"/>
              </w:rPr>
            </w:pPr>
            <w:r>
              <w:rPr>
                <w:rFonts w:hint="eastAsia" w:ascii="宋体" w:hAnsi="宋体" w:cs="宋体"/>
                <w:bCs/>
                <w:color w:val="000000"/>
                <w:lang w:eastAsia="zh-CN"/>
              </w:rPr>
              <w:sym w:font="Wingdings" w:char="00A8"/>
            </w:r>
            <w:r>
              <w:rPr>
                <w:rFonts w:hint="eastAsia" w:ascii="宋体" w:hAnsi="宋体" w:cs="宋体"/>
                <w:bCs/>
                <w:color w:val="000000"/>
                <w:lang w:eastAsia="zh-CN"/>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noWrap w:val="0"/>
            <w:vAlign w:val="center"/>
          </w:tcPr>
          <w:p>
            <w:pPr>
              <w:pStyle w:val="3"/>
              <w:adjustRightInd w:val="0"/>
              <w:snapToGrid w:val="0"/>
              <w:spacing w:after="0"/>
              <w:jc w:val="center"/>
              <w:rPr>
                <w:rFonts w:hint="eastAsia" w:ascii="宋体" w:hAnsi="宋体" w:cs="宋体"/>
                <w:bCs/>
                <w:color w:val="000000"/>
                <w:lang w:val="en-US" w:eastAsia="zh-CN"/>
              </w:rPr>
            </w:pPr>
          </w:p>
        </w:tc>
        <w:tc>
          <w:tcPr>
            <w:tcW w:w="7700" w:type="dxa"/>
            <w:gridSpan w:val="2"/>
            <w:noWrap w:val="0"/>
            <w:vAlign w:val="center"/>
          </w:tcPr>
          <w:p>
            <w:pPr>
              <w:pStyle w:val="3"/>
              <w:adjustRightInd w:val="0"/>
              <w:snapToGrid w:val="0"/>
              <w:spacing w:after="0"/>
              <w:rPr>
                <w:rFonts w:hint="eastAsia" w:ascii="宋体" w:hAnsi="宋体" w:cs="宋体"/>
                <w:bCs/>
                <w:color w:val="000000"/>
                <w:lang w:val="en-US" w:eastAsia="zh-CN"/>
              </w:rPr>
            </w:pPr>
            <w:r>
              <w:rPr>
                <w:rFonts w:hint="eastAsia" w:ascii="宋体" w:hAnsi="宋体" w:cs="宋体"/>
                <w:bCs/>
                <w:color w:val="000000"/>
                <w:lang w:eastAsia="zh-CN"/>
              </w:rPr>
              <w:sym w:font="Wingdings" w:char="00A8"/>
            </w:r>
            <w:r>
              <w:rPr>
                <w:rFonts w:hint="eastAsia" w:ascii="宋体" w:hAnsi="宋体" w:cs="宋体"/>
                <w:bCs/>
                <w:color w:val="000000"/>
                <w:lang w:eastAsia="zh-CN"/>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1940" w:type="dxa"/>
            <w:shd w:val="clear" w:color="auto" w:fill="D9D9D9"/>
            <w:noWrap w:val="0"/>
            <w:vAlign w:val="center"/>
          </w:tcPr>
          <w:p>
            <w:pPr>
              <w:pStyle w:val="3"/>
              <w:adjustRightInd w:val="0"/>
              <w:snapToGrid w:val="0"/>
              <w:spacing w:after="0"/>
              <w:jc w:val="center"/>
              <w:rPr>
                <w:rFonts w:hint="eastAsia" w:ascii="宋体" w:hAnsi="宋体" w:cs="宋体"/>
                <w:bCs/>
                <w:color w:val="000000"/>
                <w:lang w:val="en-US" w:eastAsia="zh-CN"/>
              </w:rPr>
            </w:pPr>
            <w:r>
              <w:rPr>
                <w:rFonts w:hint="eastAsia" w:ascii="宋体" w:hAnsi="宋体" w:cs="宋体"/>
                <w:bCs/>
                <w:color w:val="000000"/>
                <w:lang w:val="en-US" w:eastAsia="zh-CN"/>
              </w:rPr>
              <w:t>备注</w:t>
            </w:r>
          </w:p>
        </w:tc>
        <w:tc>
          <w:tcPr>
            <w:tcW w:w="7700" w:type="dxa"/>
            <w:gridSpan w:val="2"/>
            <w:noWrap w:val="0"/>
            <w:vAlign w:val="center"/>
          </w:tcPr>
          <w:p>
            <w:pPr>
              <w:pStyle w:val="3"/>
              <w:adjustRightInd w:val="0"/>
              <w:snapToGrid w:val="0"/>
              <w:spacing w:after="0"/>
              <w:rPr>
                <w:rFonts w:ascii="宋体" w:hAnsi="宋体" w:cs="宋体"/>
                <w:b/>
                <w:color w:val="000000"/>
                <w:lang w:val="en-US" w:eastAsia="zh-CN"/>
              </w:rPr>
            </w:pPr>
            <w:r>
              <w:rPr>
                <w:rFonts w:hint="eastAsia" w:ascii="宋体" w:hAnsi="宋体" w:cs="宋体"/>
                <w:b/>
                <w:color w:val="000000"/>
                <w:lang w:val="en-US" w:eastAsia="zh-CN"/>
              </w:rPr>
              <w:t>横向重叠：</w:t>
            </w:r>
          </w:p>
          <w:p>
            <w:pPr>
              <w:pStyle w:val="3"/>
              <w:adjustRightInd w:val="0"/>
              <w:snapToGrid w:val="0"/>
              <w:spacing w:after="0"/>
              <w:rPr>
                <w:rFonts w:hint="eastAsia" w:ascii="宋体" w:hAnsi="宋体" w:cs="宋体"/>
                <w:b/>
                <w:color w:val="000000"/>
                <w:lang w:val="en-US" w:eastAsia="zh-CN"/>
              </w:rPr>
            </w:pPr>
          </w:p>
          <w:tbl>
            <w:tblPr>
              <w:tblStyle w:val="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89"/>
              <w:gridCol w:w="2490"/>
              <w:gridCol w:w="249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89" w:type="dxa"/>
                  <w:shd w:val="clear" w:color="auto" w:fill="auto"/>
                  <w:noWrap w:val="0"/>
                  <w:vAlign w:val="center"/>
                </w:tcPr>
                <w:p>
                  <w:pPr>
                    <w:pStyle w:val="3"/>
                    <w:adjustRightInd w:val="0"/>
                    <w:snapToGrid w:val="0"/>
                    <w:spacing w:after="0"/>
                    <w:jc w:val="center"/>
                    <w:rPr>
                      <w:rFonts w:hint="eastAsia" w:ascii="宋体" w:hAnsi="宋体" w:cs="宋体"/>
                      <w:b/>
                      <w:color w:val="000000"/>
                      <w:lang w:val="en-US" w:eastAsia="zh-CN"/>
                    </w:rPr>
                  </w:pPr>
                  <w:r>
                    <w:rPr>
                      <w:rFonts w:hint="eastAsia" w:ascii="宋体" w:hAnsi="宋体" w:cs="宋体"/>
                      <w:bCs/>
                      <w:color w:val="000000"/>
                      <w:lang w:val="en-US" w:eastAsia="zh-CN"/>
                    </w:rPr>
                    <w:t>相关商品市场</w:t>
                  </w:r>
                </w:p>
              </w:tc>
              <w:tc>
                <w:tcPr>
                  <w:tcW w:w="2490" w:type="dxa"/>
                  <w:shd w:val="clear" w:color="auto" w:fill="auto"/>
                  <w:noWrap w:val="0"/>
                  <w:vAlign w:val="center"/>
                </w:tcPr>
                <w:p>
                  <w:pPr>
                    <w:pStyle w:val="3"/>
                    <w:adjustRightInd w:val="0"/>
                    <w:snapToGrid w:val="0"/>
                    <w:spacing w:after="0"/>
                    <w:jc w:val="center"/>
                    <w:rPr>
                      <w:rFonts w:hint="eastAsia" w:ascii="宋体" w:hAnsi="宋体" w:cs="宋体"/>
                      <w:b/>
                      <w:color w:val="000000"/>
                      <w:lang w:val="en-US" w:eastAsia="zh-CN"/>
                    </w:rPr>
                  </w:pPr>
                  <w:r>
                    <w:rPr>
                      <w:rFonts w:hint="eastAsia" w:ascii="宋体" w:hAnsi="宋体" w:cs="宋体"/>
                      <w:bCs/>
                      <w:color w:val="000000"/>
                      <w:lang w:val="en-US" w:eastAsia="zh-CN"/>
                    </w:rPr>
                    <w:t>相关地域市场</w:t>
                  </w:r>
                </w:p>
              </w:tc>
              <w:tc>
                <w:tcPr>
                  <w:tcW w:w="2490" w:type="dxa"/>
                  <w:shd w:val="clear" w:color="auto" w:fill="auto"/>
                  <w:noWrap w:val="0"/>
                  <w:vAlign w:val="center"/>
                </w:tcPr>
                <w:p>
                  <w:pPr>
                    <w:pStyle w:val="3"/>
                    <w:adjustRightInd w:val="0"/>
                    <w:snapToGrid w:val="0"/>
                    <w:spacing w:after="0"/>
                    <w:jc w:val="center"/>
                    <w:rPr>
                      <w:rFonts w:hint="eastAsia" w:ascii="宋体" w:hAnsi="宋体" w:cs="宋体"/>
                      <w:b/>
                      <w:color w:val="000000"/>
                      <w:lang w:val="en-US" w:eastAsia="zh-CN"/>
                    </w:rPr>
                  </w:pPr>
                  <w:r>
                    <w:rPr>
                      <w:rFonts w:hint="eastAsia" w:ascii="宋体" w:hAnsi="宋体" w:cs="宋体"/>
                      <w:bCs/>
                      <w:color w:val="000000"/>
                      <w:lang w:val="en-US" w:eastAsia="zh-CN"/>
                    </w:rPr>
                    <w:t>202</w:t>
                  </w:r>
                  <w:r>
                    <w:rPr>
                      <w:rFonts w:ascii="宋体" w:hAnsi="宋体" w:cs="宋体"/>
                      <w:bCs/>
                      <w:color w:val="000000"/>
                      <w:lang w:val="en-US" w:eastAsia="zh-CN"/>
                    </w:rPr>
                    <w:t>1</w:t>
                  </w:r>
                  <w:r>
                    <w:rPr>
                      <w:rFonts w:hint="eastAsia" w:ascii="宋体" w:hAnsi="宋体" w:cs="宋体"/>
                      <w:bCs/>
                      <w:color w:val="000000"/>
                      <w:lang w:val="en-US" w:eastAsia="zh-CN"/>
                    </w:rPr>
                    <w:t>年市场份额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89" w:type="dxa"/>
                  <w:shd w:val="clear" w:color="auto" w:fill="auto"/>
                  <w:noWrap w:val="0"/>
                  <w:vAlign w:val="center"/>
                </w:tcPr>
                <w:p>
                  <w:pPr>
                    <w:pStyle w:val="3"/>
                    <w:adjustRightInd w:val="0"/>
                    <w:snapToGrid w:val="0"/>
                    <w:spacing w:after="0"/>
                    <w:rPr>
                      <w:rFonts w:hint="eastAsia" w:ascii="宋体" w:hAnsi="宋体" w:cs="宋体"/>
                      <w:b/>
                      <w:color w:val="000000"/>
                      <w:lang w:val="en-US" w:eastAsia="zh-CN"/>
                    </w:rPr>
                  </w:pPr>
                  <w:r>
                    <w:rPr>
                      <w:rFonts w:hint="eastAsia" w:ascii="宋体" w:hAnsi="宋体" w:cs="宋体"/>
                      <w:bCs/>
                      <w:color w:val="000000"/>
                      <w:lang w:val="en-US" w:eastAsia="zh-CN"/>
                    </w:rPr>
                    <w:t>商品住宅的开发和销售市场</w:t>
                  </w:r>
                </w:p>
              </w:tc>
              <w:tc>
                <w:tcPr>
                  <w:tcW w:w="2490" w:type="dxa"/>
                  <w:shd w:val="clear" w:color="auto" w:fill="auto"/>
                  <w:noWrap w:val="0"/>
                  <w:vAlign w:val="center"/>
                </w:tcPr>
                <w:p>
                  <w:pPr>
                    <w:pStyle w:val="3"/>
                    <w:adjustRightInd w:val="0"/>
                    <w:snapToGrid w:val="0"/>
                    <w:spacing w:after="0"/>
                    <w:jc w:val="center"/>
                    <w:rPr>
                      <w:rFonts w:hint="eastAsia" w:ascii="宋体" w:hAnsi="宋体" w:cs="宋体"/>
                      <w:b/>
                      <w:color w:val="000000"/>
                      <w:lang w:val="en-US" w:eastAsia="zh-CN"/>
                    </w:rPr>
                  </w:pPr>
                  <w:r>
                    <w:rPr>
                      <w:rFonts w:hint="eastAsia" w:ascii="宋体" w:hAnsi="宋体" w:cs="宋体"/>
                      <w:bCs/>
                      <w:color w:val="000000"/>
                      <w:lang w:val="en-US" w:eastAsia="zh-CN"/>
                    </w:rPr>
                    <w:t>广州市</w:t>
                  </w:r>
                </w:p>
              </w:tc>
              <w:tc>
                <w:tcPr>
                  <w:tcW w:w="2490" w:type="dxa"/>
                  <w:shd w:val="clear" w:color="auto" w:fill="auto"/>
                  <w:noWrap w:val="0"/>
                  <w:vAlign w:val="center"/>
                </w:tcPr>
                <w:p>
                  <w:pPr>
                    <w:pStyle w:val="3"/>
                    <w:adjustRightInd w:val="0"/>
                    <w:snapToGrid w:val="0"/>
                    <w:spacing w:after="0"/>
                    <w:rPr>
                      <w:rFonts w:ascii="宋体" w:hAnsi="宋体" w:cs="宋体"/>
                      <w:bCs/>
                      <w:color w:val="000000"/>
                      <w:lang w:val="en-US" w:eastAsia="zh-CN"/>
                    </w:rPr>
                  </w:pPr>
                  <w:r>
                    <w:rPr>
                      <w:rFonts w:hint="eastAsia" w:ascii="宋体" w:hAnsi="宋体" w:cs="宋体"/>
                      <w:bCs/>
                      <w:color w:val="000000"/>
                      <w:lang w:val="en-US" w:eastAsia="zh-CN"/>
                    </w:rPr>
                    <w:t>香江实业及其关联实体：</w:t>
                  </w:r>
                  <w:r>
                    <w:rPr>
                      <w:rFonts w:ascii="宋体" w:hAnsi="宋体" w:cs="宋体"/>
                      <w:bCs/>
                      <w:color w:val="000000"/>
                      <w:lang w:val="en-US" w:eastAsia="zh-CN"/>
                    </w:rPr>
                    <w:t>0-5%</w:t>
                  </w:r>
                </w:p>
                <w:p>
                  <w:pPr>
                    <w:pStyle w:val="3"/>
                    <w:adjustRightInd w:val="0"/>
                    <w:snapToGrid w:val="0"/>
                    <w:spacing w:after="0"/>
                    <w:rPr>
                      <w:rFonts w:ascii="宋体" w:hAnsi="宋体" w:cs="宋体"/>
                      <w:bCs/>
                      <w:color w:val="000000"/>
                      <w:lang w:val="en-US" w:eastAsia="zh-CN"/>
                    </w:rPr>
                  </w:pPr>
                  <w:r>
                    <w:rPr>
                      <w:rFonts w:hint="eastAsia" w:ascii="宋体" w:hAnsi="宋体" w:cs="宋体"/>
                      <w:bCs/>
                      <w:color w:val="000000"/>
                      <w:lang w:val="en-US" w:eastAsia="zh-CN"/>
                    </w:rPr>
                    <w:t>润投咨询及其关联实体：</w:t>
                  </w:r>
                  <w:r>
                    <w:rPr>
                      <w:rFonts w:ascii="宋体" w:hAnsi="宋体" w:cs="宋体"/>
                      <w:bCs/>
                      <w:color w:val="000000"/>
                      <w:lang w:val="en-US" w:eastAsia="zh-CN"/>
                    </w:rPr>
                    <w:t>0-5%</w:t>
                  </w:r>
                </w:p>
                <w:p>
                  <w:pPr>
                    <w:pStyle w:val="3"/>
                    <w:adjustRightInd w:val="0"/>
                    <w:snapToGrid w:val="0"/>
                    <w:spacing w:after="0"/>
                    <w:rPr>
                      <w:rFonts w:hint="eastAsia" w:ascii="宋体" w:hAnsi="宋体" w:cs="宋体"/>
                      <w:b/>
                      <w:color w:val="000000"/>
                      <w:lang w:val="en-US" w:eastAsia="zh-CN"/>
                    </w:rPr>
                  </w:pPr>
                  <w:r>
                    <w:rPr>
                      <w:rFonts w:hint="eastAsia" w:ascii="宋体" w:hAnsi="宋体" w:cs="宋体"/>
                      <w:bCs/>
                      <w:color w:val="000000"/>
                      <w:lang w:val="en-US" w:eastAsia="zh-CN"/>
                    </w:rPr>
                    <w:t>合计份额：</w:t>
                  </w:r>
                  <w:r>
                    <w:rPr>
                      <w:rFonts w:ascii="宋体" w:hAnsi="宋体" w:cs="宋体"/>
                      <w:bCs/>
                      <w:color w:val="000000"/>
                      <w:lang w:val="en-US" w:eastAsia="zh-CN"/>
                    </w:rPr>
                    <w:t>0-5%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89" w:type="dxa"/>
                  <w:shd w:val="clear" w:color="auto" w:fill="auto"/>
                  <w:noWrap w:val="0"/>
                  <w:vAlign w:val="center"/>
                </w:tcPr>
                <w:p>
                  <w:pPr>
                    <w:pStyle w:val="3"/>
                    <w:adjustRightInd w:val="0"/>
                    <w:snapToGrid w:val="0"/>
                    <w:spacing w:after="0"/>
                    <w:rPr>
                      <w:rFonts w:hint="eastAsia" w:ascii="宋体" w:hAnsi="宋体" w:cs="宋体"/>
                      <w:b/>
                      <w:color w:val="000000"/>
                      <w:lang w:val="en-US" w:eastAsia="zh-CN"/>
                    </w:rPr>
                  </w:pPr>
                  <w:r>
                    <w:rPr>
                      <w:rFonts w:hint="eastAsia" w:ascii="宋体" w:hAnsi="宋体" w:cs="宋体"/>
                      <w:bCs/>
                      <w:color w:val="000000"/>
                      <w:lang w:val="en-US" w:eastAsia="zh-CN"/>
                    </w:rPr>
                    <w:t>写字楼的开发和销售市场</w:t>
                  </w:r>
                </w:p>
              </w:tc>
              <w:tc>
                <w:tcPr>
                  <w:tcW w:w="2490" w:type="dxa"/>
                  <w:shd w:val="clear" w:color="auto" w:fill="auto"/>
                  <w:noWrap w:val="0"/>
                  <w:vAlign w:val="center"/>
                </w:tcPr>
                <w:p>
                  <w:pPr>
                    <w:pStyle w:val="3"/>
                    <w:adjustRightInd w:val="0"/>
                    <w:snapToGrid w:val="0"/>
                    <w:spacing w:after="0"/>
                    <w:jc w:val="center"/>
                    <w:rPr>
                      <w:rFonts w:hint="eastAsia" w:ascii="宋体" w:hAnsi="宋体" w:cs="宋体"/>
                      <w:b/>
                      <w:color w:val="000000"/>
                      <w:lang w:val="en-US" w:eastAsia="zh-CN"/>
                    </w:rPr>
                  </w:pPr>
                  <w:r>
                    <w:rPr>
                      <w:rFonts w:hint="eastAsia" w:ascii="宋体" w:hAnsi="宋体" w:cs="宋体"/>
                      <w:bCs/>
                      <w:color w:val="000000"/>
                      <w:lang w:val="en-US" w:eastAsia="zh-CN"/>
                    </w:rPr>
                    <w:t>广州市</w:t>
                  </w:r>
                </w:p>
              </w:tc>
              <w:tc>
                <w:tcPr>
                  <w:tcW w:w="2490" w:type="dxa"/>
                  <w:shd w:val="clear" w:color="auto" w:fill="auto"/>
                  <w:noWrap w:val="0"/>
                  <w:vAlign w:val="center"/>
                </w:tcPr>
                <w:p>
                  <w:pPr>
                    <w:pStyle w:val="3"/>
                    <w:adjustRightInd w:val="0"/>
                    <w:snapToGrid w:val="0"/>
                    <w:spacing w:after="0"/>
                    <w:rPr>
                      <w:rFonts w:ascii="宋体" w:hAnsi="宋体" w:cs="宋体"/>
                      <w:bCs/>
                      <w:color w:val="000000"/>
                      <w:lang w:val="en-US" w:eastAsia="zh-CN"/>
                    </w:rPr>
                  </w:pPr>
                  <w:r>
                    <w:rPr>
                      <w:rFonts w:hint="eastAsia" w:ascii="宋体" w:hAnsi="宋体" w:cs="宋体"/>
                      <w:bCs/>
                      <w:color w:val="000000"/>
                      <w:lang w:val="en-US" w:eastAsia="zh-CN"/>
                    </w:rPr>
                    <w:t>香江实业及其关联实体：</w:t>
                  </w:r>
                  <w:r>
                    <w:rPr>
                      <w:rFonts w:ascii="宋体" w:hAnsi="宋体" w:cs="宋体"/>
                      <w:bCs/>
                      <w:color w:val="000000"/>
                      <w:lang w:val="en-US" w:eastAsia="zh-CN"/>
                    </w:rPr>
                    <w:t>0-5%</w:t>
                  </w:r>
                </w:p>
                <w:p>
                  <w:pPr>
                    <w:pStyle w:val="3"/>
                    <w:adjustRightInd w:val="0"/>
                    <w:snapToGrid w:val="0"/>
                    <w:spacing w:after="0"/>
                    <w:rPr>
                      <w:rFonts w:ascii="宋体" w:hAnsi="宋体" w:cs="宋体"/>
                      <w:bCs/>
                      <w:color w:val="000000"/>
                      <w:lang w:val="en-US" w:eastAsia="zh-CN"/>
                    </w:rPr>
                  </w:pPr>
                  <w:r>
                    <w:rPr>
                      <w:rFonts w:hint="eastAsia" w:ascii="宋体" w:hAnsi="宋体" w:cs="宋体"/>
                      <w:bCs/>
                      <w:color w:val="000000"/>
                      <w:lang w:val="en-US" w:eastAsia="zh-CN"/>
                    </w:rPr>
                    <w:t>润投咨询及其关联实体：</w:t>
                  </w:r>
                  <w:r>
                    <w:rPr>
                      <w:rFonts w:ascii="宋体" w:hAnsi="宋体" w:cs="宋体"/>
                      <w:bCs/>
                      <w:color w:val="000000"/>
                      <w:lang w:val="en-US" w:eastAsia="zh-CN"/>
                    </w:rPr>
                    <w:t>0-5%</w:t>
                  </w:r>
                </w:p>
                <w:p>
                  <w:pPr>
                    <w:pStyle w:val="3"/>
                    <w:adjustRightInd w:val="0"/>
                    <w:snapToGrid w:val="0"/>
                    <w:spacing w:after="0"/>
                    <w:rPr>
                      <w:rFonts w:hint="eastAsia" w:ascii="宋体" w:hAnsi="宋体" w:cs="宋体"/>
                      <w:b/>
                      <w:color w:val="000000"/>
                      <w:lang w:val="en-US" w:eastAsia="zh-CN"/>
                    </w:rPr>
                  </w:pPr>
                  <w:r>
                    <w:rPr>
                      <w:rFonts w:hint="eastAsia" w:ascii="宋体" w:hAnsi="宋体" w:cs="宋体"/>
                      <w:bCs/>
                      <w:color w:val="000000"/>
                      <w:lang w:val="en-US" w:eastAsia="zh-CN"/>
                    </w:rPr>
                    <w:t>合计份额：</w:t>
                  </w:r>
                  <w:r>
                    <w:rPr>
                      <w:rFonts w:ascii="宋体" w:hAnsi="宋体" w:cs="宋体"/>
                      <w:bCs/>
                      <w:color w:val="000000"/>
                      <w:lang w:val="en-US" w:eastAsia="zh-CN"/>
                    </w:rPr>
                    <w:t>0-5%</w:t>
                  </w:r>
                </w:p>
              </w:tc>
            </w:tr>
          </w:tbl>
          <w:p>
            <w:pPr>
              <w:pStyle w:val="3"/>
              <w:adjustRightInd w:val="0"/>
              <w:snapToGrid w:val="0"/>
              <w:spacing w:after="0"/>
              <w:rPr>
                <w:rFonts w:hint="eastAsia" w:ascii="宋体" w:hAnsi="宋体" w:cs="宋体"/>
                <w:b/>
                <w:color w:val="000000"/>
                <w:lang w:eastAsia="zh-CN"/>
              </w:rPr>
            </w:pPr>
          </w:p>
          <w:p>
            <w:pPr>
              <w:pStyle w:val="3"/>
              <w:adjustRightInd w:val="0"/>
              <w:snapToGrid w:val="0"/>
              <w:spacing w:after="0"/>
              <w:rPr>
                <w:rFonts w:ascii="宋体" w:hAnsi="宋体" w:cs="宋体"/>
                <w:b/>
                <w:color w:val="000000"/>
                <w:lang w:eastAsia="zh-CN"/>
              </w:rPr>
            </w:pPr>
            <w:r>
              <w:rPr>
                <w:rFonts w:hint="eastAsia" w:ascii="宋体" w:hAnsi="宋体" w:cs="宋体"/>
                <w:b/>
                <w:color w:val="000000"/>
                <w:lang w:eastAsia="zh-CN"/>
              </w:rPr>
              <w:t>纵向关联：</w:t>
            </w:r>
          </w:p>
          <w:p>
            <w:pPr>
              <w:pStyle w:val="3"/>
              <w:adjustRightInd w:val="0"/>
              <w:snapToGrid w:val="0"/>
              <w:spacing w:after="0"/>
              <w:rPr>
                <w:rFonts w:hint="eastAsia" w:ascii="宋体" w:hAnsi="宋体" w:cs="宋体"/>
                <w:b/>
                <w:color w:val="000000"/>
                <w:lang w:eastAsia="zh-CN"/>
              </w:rPr>
            </w:pPr>
          </w:p>
          <w:tbl>
            <w:tblPr>
              <w:tblStyle w:val="4"/>
              <w:tblW w:w="74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94"/>
              <w:gridCol w:w="2495"/>
              <w:gridCol w:w="24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4" w:type="dxa"/>
                  <w:shd w:val="clear" w:color="auto" w:fill="auto"/>
                  <w:noWrap w:val="0"/>
                  <w:vAlign w:val="center"/>
                </w:tcPr>
                <w:p>
                  <w:pPr>
                    <w:pStyle w:val="3"/>
                    <w:adjustRightInd w:val="0"/>
                    <w:snapToGrid w:val="0"/>
                    <w:spacing w:after="0"/>
                    <w:jc w:val="center"/>
                    <w:rPr>
                      <w:rFonts w:hint="eastAsia" w:ascii="宋体" w:hAnsi="宋体" w:cs="宋体"/>
                      <w:bCs/>
                      <w:color w:val="000000"/>
                      <w:lang w:val="en-US" w:eastAsia="zh-CN"/>
                    </w:rPr>
                  </w:pPr>
                  <w:r>
                    <w:rPr>
                      <w:rFonts w:hint="eastAsia" w:ascii="宋体" w:hAnsi="宋体" w:cs="宋体"/>
                      <w:bCs/>
                      <w:color w:val="000000"/>
                      <w:lang w:val="en-US" w:eastAsia="zh-CN"/>
                    </w:rPr>
                    <w:t>相关商品市场</w:t>
                  </w:r>
                </w:p>
              </w:tc>
              <w:tc>
                <w:tcPr>
                  <w:tcW w:w="2495" w:type="dxa"/>
                  <w:shd w:val="clear" w:color="auto" w:fill="auto"/>
                  <w:noWrap w:val="0"/>
                  <w:vAlign w:val="center"/>
                </w:tcPr>
                <w:p>
                  <w:pPr>
                    <w:pStyle w:val="3"/>
                    <w:adjustRightInd w:val="0"/>
                    <w:snapToGrid w:val="0"/>
                    <w:spacing w:after="0"/>
                    <w:jc w:val="center"/>
                    <w:rPr>
                      <w:rFonts w:hint="eastAsia" w:ascii="宋体" w:hAnsi="宋体" w:cs="宋体"/>
                      <w:bCs/>
                      <w:color w:val="000000"/>
                      <w:lang w:val="en-US" w:eastAsia="zh-CN"/>
                    </w:rPr>
                  </w:pPr>
                  <w:r>
                    <w:rPr>
                      <w:rFonts w:hint="eastAsia" w:ascii="宋体" w:hAnsi="宋体" w:cs="宋体"/>
                      <w:bCs/>
                      <w:color w:val="000000"/>
                      <w:lang w:val="en-US" w:eastAsia="zh-CN"/>
                    </w:rPr>
                    <w:t>相关地域市场</w:t>
                  </w:r>
                </w:p>
              </w:tc>
              <w:tc>
                <w:tcPr>
                  <w:tcW w:w="2495" w:type="dxa"/>
                  <w:shd w:val="clear" w:color="auto" w:fill="auto"/>
                  <w:noWrap w:val="0"/>
                  <w:vAlign w:val="center"/>
                </w:tcPr>
                <w:p>
                  <w:pPr>
                    <w:pStyle w:val="3"/>
                    <w:adjustRightInd w:val="0"/>
                    <w:snapToGrid w:val="0"/>
                    <w:spacing w:after="0"/>
                    <w:jc w:val="center"/>
                    <w:rPr>
                      <w:rFonts w:ascii="宋体" w:hAnsi="宋体" w:cs="宋体"/>
                      <w:bCs/>
                      <w:color w:val="000000"/>
                      <w:lang w:val="en-US" w:eastAsia="zh-CN"/>
                    </w:rPr>
                  </w:pPr>
                  <w:r>
                    <w:rPr>
                      <w:rFonts w:hint="eastAsia" w:ascii="宋体" w:hAnsi="宋体" w:cs="宋体"/>
                      <w:bCs/>
                      <w:color w:val="000000"/>
                      <w:lang w:val="en-US" w:eastAsia="zh-CN"/>
                    </w:rPr>
                    <w:t>202</w:t>
                  </w:r>
                  <w:r>
                    <w:rPr>
                      <w:rFonts w:ascii="宋体" w:hAnsi="宋体" w:cs="宋体"/>
                      <w:bCs/>
                      <w:color w:val="000000"/>
                      <w:lang w:val="en-US" w:eastAsia="zh-CN"/>
                    </w:rPr>
                    <w:t>1</w:t>
                  </w:r>
                  <w:r>
                    <w:rPr>
                      <w:rFonts w:hint="eastAsia" w:ascii="宋体" w:hAnsi="宋体" w:cs="宋体"/>
                      <w:bCs/>
                      <w:color w:val="000000"/>
                      <w:lang w:val="en-US" w:eastAsia="zh-CN"/>
                    </w:rPr>
                    <w:t>年市场份额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4" w:type="dxa"/>
                  <w:shd w:val="clear" w:color="auto" w:fill="auto"/>
                  <w:noWrap w:val="0"/>
                  <w:vAlign w:val="center"/>
                </w:tcPr>
                <w:p>
                  <w:pPr>
                    <w:pStyle w:val="3"/>
                    <w:adjustRightInd w:val="0"/>
                    <w:snapToGrid w:val="0"/>
                    <w:spacing w:after="0"/>
                    <w:rPr>
                      <w:rFonts w:hint="eastAsia" w:ascii="宋体" w:hAnsi="宋体" w:cs="宋体"/>
                      <w:bCs/>
                      <w:color w:val="000000"/>
                      <w:lang w:val="en-US" w:eastAsia="zh-CN"/>
                    </w:rPr>
                  </w:pPr>
                  <w:r>
                    <w:rPr>
                      <w:rFonts w:hint="eastAsia" w:ascii="宋体" w:hAnsi="宋体" w:cs="宋体"/>
                      <w:bCs/>
                      <w:color w:val="000000"/>
                      <w:lang w:val="en-US" w:eastAsia="zh-CN"/>
                    </w:rPr>
                    <w:t>上游：房屋建筑工程施工服务市场</w:t>
                  </w:r>
                </w:p>
              </w:tc>
              <w:tc>
                <w:tcPr>
                  <w:tcW w:w="2495" w:type="dxa"/>
                  <w:shd w:val="clear" w:color="auto" w:fill="auto"/>
                  <w:noWrap w:val="0"/>
                  <w:vAlign w:val="center"/>
                </w:tcPr>
                <w:p>
                  <w:pPr>
                    <w:pStyle w:val="3"/>
                    <w:adjustRightInd w:val="0"/>
                    <w:snapToGrid w:val="0"/>
                    <w:spacing w:after="0"/>
                    <w:jc w:val="center"/>
                    <w:rPr>
                      <w:rFonts w:hint="eastAsia" w:ascii="宋体" w:hAnsi="宋体" w:cs="宋体"/>
                      <w:bCs/>
                      <w:color w:val="000000"/>
                      <w:lang w:val="en-US" w:eastAsia="zh-CN"/>
                    </w:rPr>
                  </w:pPr>
                  <w:r>
                    <w:rPr>
                      <w:rFonts w:hint="eastAsia" w:ascii="宋体" w:hAnsi="宋体" w:cs="宋体"/>
                      <w:bCs/>
                      <w:color w:val="000000"/>
                      <w:lang w:val="en-US" w:eastAsia="zh-CN"/>
                    </w:rPr>
                    <w:t>中国境内</w:t>
                  </w:r>
                </w:p>
              </w:tc>
              <w:tc>
                <w:tcPr>
                  <w:tcW w:w="2495" w:type="dxa"/>
                  <w:shd w:val="clear" w:color="auto" w:fill="auto"/>
                  <w:noWrap w:val="0"/>
                  <w:vAlign w:val="center"/>
                </w:tcPr>
                <w:p>
                  <w:pPr>
                    <w:pStyle w:val="3"/>
                    <w:adjustRightInd w:val="0"/>
                    <w:snapToGrid w:val="0"/>
                    <w:spacing w:after="0"/>
                    <w:rPr>
                      <w:rFonts w:ascii="宋体" w:hAnsi="宋体" w:cs="宋体"/>
                      <w:bCs/>
                      <w:color w:val="000000"/>
                      <w:lang w:val="en-US" w:eastAsia="zh-CN"/>
                    </w:rPr>
                  </w:pPr>
                  <w:r>
                    <w:rPr>
                      <w:rFonts w:hint="eastAsia" w:ascii="宋体" w:hAnsi="宋体" w:cs="宋体"/>
                      <w:bCs/>
                      <w:color w:val="000000"/>
                      <w:lang w:val="en-US" w:eastAsia="zh-CN"/>
                    </w:rPr>
                    <w:t>润投咨询及其关联实体：</w:t>
                  </w:r>
                  <w:r>
                    <w:rPr>
                      <w:rFonts w:ascii="宋体" w:hAnsi="宋体" w:cs="宋体"/>
                      <w:bCs/>
                      <w:color w:val="000000"/>
                      <w:lang w:val="en-US" w:eastAsia="zh-CN"/>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4" w:type="dxa"/>
                  <w:shd w:val="clear" w:color="auto" w:fill="auto"/>
                  <w:noWrap w:val="0"/>
                  <w:vAlign w:val="center"/>
                </w:tcPr>
                <w:p>
                  <w:pPr>
                    <w:pStyle w:val="3"/>
                    <w:adjustRightInd w:val="0"/>
                    <w:snapToGrid w:val="0"/>
                    <w:spacing w:after="0"/>
                    <w:rPr>
                      <w:rFonts w:hint="eastAsia" w:ascii="宋体" w:hAnsi="宋体" w:cs="宋体"/>
                      <w:bCs/>
                      <w:color w:val="000000"/>
                      <w:lang w:val="en-US" w:eastAsia="zh-CN"/>
                    </w:rPr>
                  </w:pPr>
                  <w:r>
                    <w:rPr>
                      <w:rFonts w:hint="eastAsia" w:ascii="宋体" w:hAnsi="宋体" w:cs="宋体"/>
                      <w:bCs/>
                      <w:color w:val="000000"/>
                      <w:lang w:val="en-US" w:eastAsia="zh-CN"/>
                    </w:rPr>
                    <w:t>下游：商品住宅的开发和销售市场、写字楼的开发和销售市场</w:t>
                  </w:r>
                </w:p>
              </w:tc>
              <w:tc>
                <w:tcPr>
                  <w:tcW w:w="2495" w:type="dxa"/>
                  <w:shd w:val="clear" w:color="auto" w:fill="auto"/>
                  <w:noWrap w:val="0"/>
                  <w:vAlign w:val="center"/>
                </w:tcPr>
                <w:p>
                  <w:pPr>
                    <w:pStyle w:val="3"/>
                    <w:adjustRightInd w:val="0"/>
                    <w:snapToGrid w:val="0"/>
                    <w:spacing w:after="0"/>
                    <w:jc w:val="center"/>
                    <w:rPr>
                      <w:rFonts w:hint="eastAsia" w:ascii="宋体" w:hAnsi="宋体" w:cs="宋体"/>
                      <w:bCs/>
                      <w:color w:val="000000"/>
                      <w:lang w:val="en-US" w:eastAsia="zh-CN"/>
                    </w:rPr>
                  </w:pPr>
                  <w:r>
                    <w:rPr>
                      <w:rFonts w:hint="eastAsia" w:ascii="宋体" w:hAnsi="宋体" w:cs="宋体"/>
                      <w:bCs/>
                      <w:color w:val="000000"/>
                      <w:lang w:val="en-US" w:eastAsia="zh-CN"/>
                    </w:rPr>
                    <w:t>广州市</w:t>
                  </w:r>
                </w:p>
              </w:tc>
              <w:tc>
                <w:tcPr>
                  <w:tcW w:w="2495" w:type="dxa"/>
                  <w:shd w:val="clear" w:color="auto" w:fill="auto"/>
                  <w:noWrap w:val="0"/>
                  <w:vAlign w:val="center"/>
                </w:tcPr>
                <w:p>
                  <w:pPr>
                    <w:pStyle w:val="3"/>
                    <w:adjustRightInd w:val="0"/>
                    <w:snapToGrid w:val="0"/>
                    <w:spacing w:after="0"/>
                    <w:jc w:val="center"/>
                    <w:rPr>
                      <w:rFonts w:hint="eastAsia" w:ascii="宋体" w:hAnsi="宋体" w:cs="宋体"/>
                      <w:bCs/>
                      <w:color w:val="000000"/>
                      <w:lang w:val="en-US" w:eastAsia="zh-CN"/>
                    </w:rPr>
                  </w:pPr>
                  <w:r>
                    <w:rPr>
                      <w:rFonts w:hint="eastAsia" w:ascii="宋体" w:hAnsi="宋体" w:cs="宋体"/>
                      <w:bCs/>
                      <w:color w:val="000000"/>
                      <w:lang w:val="en-US" w:eastAsia="zh-CN"/>
                    </w:rPr>
                    <w:t>如上所述</w:t>
                  </w:r>
                </w:p>
              </w:tc>
            </w:tr>
          </w:tbl>
          <w:p>
            <w:pPr>
              <w:pStyle w:val="3"/>
              <w:adjustRightInd w:val="0"/>
              <w:snapToGrid w:val="0"/>
              <w:spacing w:after="0"/>
              <w:rPr>
                <w:rFonts w:ascii="宋体" w:hAnsi="宋体" w:cs="宋体"/>
                <w:bCs/>
                <w:color w:val="000000"/>
                <w:lang w:val="en-US" w:eastAsia="zh-CN"/>
              </w:rPr>
            </w:pPr>
          </w:p>
        </w:tc>
      </w:tr>
    </w:tbl>
    <w:p/>
    <w:p>
      <w:pPr>
        <w:pStyle w:val="2"/>
      </w:pPr>
    </w:p>
    <w:p/>
    <w:p>
      <w:pPr>
        <w:pStyle w:val="2"/>
      </w:pPr>
    </w:p>
    <w:p/>
    <w:p>
      <w:pPr>
        <w:pStyle w:val="2"/>
      </w:pPr>
    </w:p>
    <w:p/>
    <w:p>
      <w:pPr>
        <w:pStyle w:val="2"/>
      </w:pPr>
    </w:p>
    <w:p/>
    <w:p>
      <w:pPr>
        <w:pStyle w:val="2"/>
      </w:pPr>
    </w:p>
    <w:p/>
    <w:p>
      <w:pPr>
        <w:pStyle w:val="2"/>
      </w:pPr>
    </w:p>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294069"/>
    <w:rsid w:val="3A2940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Normal Indent"/>
    <w:basedOn w:val="1"/>
    <w:next w:val="1"/>
    <w:qFormat/>
    <w:uiPriority w:val="99"/>
  </w:style>
  <w:style w:type="paragraph" w:styleId="3">
    <w:name w:val="Body Text"/>
    <w:basedOn w:val="1"/>
    <w:unhideWhenUsed/>
    <w:qFormat/>
    <w:uiPriority w:val="99"/>
    <w:pPr>
      <w:spacing w:after="12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其他省直机关单位</Company>
  <Pages>1</Pages>
  <Words>0</Words>
  <Characters>0</Characters>
  <Lines>0</Lines>
  <Paragraphs>0</Paragraphs>
  <TotalTime>0</TotalTime>
  <ScaleCrop>false</ScaleCrop>
  <LinksUpToDate>false</LinksUpToDate>
  <CharactersWithSpaces>0</CharactersWithSpaces>
  <Application>WPS Office_11.8.2.11718_F1E327BC-269C-435d-A152-05C5408002CA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2023-05-17T03:10:00Z</dcterms:created>
  <dc:creator>张斌（反垄断处）</dc:creator>
  <cp:lastModifiedBy>张斌（反垄断处）</cp:lastModifiedBy>
  <dcterms:modified xsi:type="dcterms:W3CDTF">2023-05-17T03:10:38Z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3C77F52999B544E4A6F57AB3B82EDC94</vt:lpwstr>
  </property>
</Properties>
</file>