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C613C" w14:textId="77777777" w:rsidR="00515F36" w:rsidRPr="00515F36" w:rsidRDefault="00515F36" w:rsidP="00515F36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515F36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47598" w:rsidRPr="00FB42D8" w14:paraId="7E9E8184" w14:textId="77777777" w:rsidTr="00A47598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1BE5E2F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F2FFA34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76832">
              <w:rPr>
                <w:rFonts w:ascii="宋体" w:hAnsi="宋体" w:cs="宋体" w:hint="eastAsia"/>
                <w:bCs/>
                <w:color w:val="000000"/>
                <w:sz w:val="24"/>
              </w:rPr>
              <w:t>株式会社日本触媒收购</w:t>
            </w:r>
            <w:proofErr w:type="spellStart"/>
            <w:r w:rsidRPr="00C76832">
              <w:rPr>
                <w:rFonts w:ascii="宋体" w:hAnsi="宋体" w:cs="宋体"/>
                <w:bCs/>
                <w:color w:val="000000"/>
                <w:sz w:val="24"/>
              </w:rPr>
              <w:t>DiFi</w:t>
            </w:r>
            <w:proofErr w:type="spellEnd"/>
            <w:r w:rsidRPr="00C76832">
              <w:rPr>
                <w:rFonts w:ascii="宋体" w:hAnsi="宋体" w:cs="宋体"/>
                <w:bCs/>
                <w:color w:val="000000"/>
                <w:sz w:val="24"/>
              </w:rPr>
              <w:t xml:space="preserve"> 13股份有限公司股权案</w:t>
            </w:r>
          </w:p>
        </w:tc>
      </w:tr>
      <w:tr w:rsidR="00A47598" w:rsidRPr="00FB42D8" w14:paraId="171B8232" w14:textId="77777777" w:rsidTr="00A47598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1DBA2FC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208651C" w14:textId="77777777" w:rsidR="00A47598" w:rsidRPr="00FB42D8" w:rsidRDefault="00A47598" w:rsidP="00D166AF">
            <w:pPr>
              <w:rPr>
                <w:rFonts w:ascii="宋体" w:hAnsi="宋体" w:cs="宋体"/>
                <w:bCs/>
                <w:color w:val="000000"/>
                <w:sz w:val="24"/>
              </w:rPr>
            </w:pPr>
            <w:r w:rsidRPr="00C76832">
              <w:rPr>
                <w:rFonts w:ascii="宋体" w:hAnsi="宋体" w:cs="宋体" w:hint="eastAsia"/>
                <w:bCs/>
                <w:color w:val="000000"/>
                <w:sz w:val="24"/>
              </w:rPr>
              <w:t>株式会社日本触媒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（“日本触媒”）</w:t>
            </w:r>
            <w:r w:rsidRPr="006C249F">
              <w:rPr>
                <w:rFonts w:ascii="宋体" w:hAnsi="宋体" w:cs="宋体" w:hint="eastAsia"/>
                <w:bCs/>
                <w:color w:val="000000"/>
                <w:sz w:val="24"/>
              </w:rPr>
              <w:t>与</w:t>
            </w:r>
            <w:r w:rsidRPr="00AB71F7">
              <w:rPr>
                <w:rFonts w:ascii="宋体" w:hAnsi="宋体" w:cs="宋体" w:hint="eastAsia"/>
                <w:bCs/>
                <w:color w:val="000000"/>
                <w:sz w:val="24"/>
              </w:rPr>
              <w:t>阿科玛投资股份有限公司</w:t>
            </w:r>
            <w:r w:rsidRPr="006C249F">
              <w:rPr>
                <w:rFonts w:ascii="宋体" w:hAnsi="宋体" w:cs="宋体" w:hint="eastAsia"/>
                <w:bCs/>
                <w:color w:val="000000"/>
                <w:sz w:val="24"/>
              </w:rPr>
              <w:t>（“</w:t>
            </w:r>
            <w:r w:rsidRPr="00AB71F7">
              <w:rPr>
                <w:rFonts w:ascii="宋体" w:hAnsi="宋体" w:cs="宋体" w:hint="eastAsia"/>
                <w:bCs/>
                <w:color w:val="000000"/>
                <w:sz w:val="24"/>
              </w:rPr>
              <w:t>阿科玛投资</w:t>
            </w:r>
            <w:r w:rsidRPr="006C249F">
              <w:rPr>
                <w:rFonts w:ascii="宋体" w:hAnsi="宋体" w:cs="宋体" w:hint="eastAsia"/>
                <w:bCs/>
                <w:color w:val="000000"/>
                <w:sz w:val="24"/>
              </w:rPr>
              <w:t>”）签署协议，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日本触媒</w:t>
            </w:r>
            <w:r w:rsidRPr="006C249F">
              <w:rPr>
                <w:rFonts w:ascii="宋体" w:hAnsi="宋体" w:cs="宋体" w:hint="eastAsia"/>
                <w:bCs/>
                <w:color w:val="000000"/>
                <w:sz w:val="24"/>
              </w:rPr>
              <w:t>收购</w:t>
            </w:r>
            <w:proofErr w:type="spellStart"/>
            <w:r w:rsidRPr="00C76832">
              <w:rPr>
                <w:rFonts w:ascii="宋体" w:hAnsi="宋体" w:cs="宋体"/>
                <w:bCs/>
                <w:color w:val="000000"/>
                <w:sz w:val="24"/>
              </w:rPr>
              <w:t>DiFi</w:t>
            </w:r>
            <w:proofErr w:type="spellEnd"/>
            <w:r w:rsidRPr="00C76832">
              <w:rPr>
                <w:rFonts w:ascii="宋体" w:hAnsi="宋体" w:cs="宋体"/>
                <w:bCs/>
                <w:color w:val="000000"/>
                <w:sz w:val="24"/>
              </w:rPr>
              <w:t xml:space="preserve"> 13股份有限公司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（“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LIONEXT</w:t>
            </w:r>
            <w:proofErr w:type="spellEnd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”）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51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%的股份。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LIONEXT</w:t>
            </w:r>
            <w:proofErr w:type="spellEnd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在交易后预计将从事</w:t>
            </w:r>
            <w:r w:rsidRPr="00AB71F7">
              <w:rPr>
                <w:rFonts w:ascii="宋体" w:hAnsi="宋体" w:cs="宋体" w:hint="eastAsia"/>
                <w:bCs/>
                <w:color w:val="000000"/>
                <w:sz w:val="24"/>
              </w:rPr>
              <w:t>双氟磺酰亚胺锂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制造业务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。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临近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交易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交割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前，</w:t>
            </w:r>
            <w:r w:rsidRPr="00AB71F7">
              <w:rPr>
                <w:rFonts w:ascii="宋体" w:hAnsi="宋体" w:cs="宋体" w:hint="eastAsia"/>
                <w:bCs/>
                <w:color w:val="000000"/>
                <w:sz w:val="24"/>
              </w:rPr>
              <w:t>阿科玛投资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持有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LIONEXT</w:t>
            </w:r>
            <w:proofErr w:type="spellEnd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的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100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%的股份，单独控制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DiFi</w:t>
            </w:r>
            <w:proofErr w:type="spellEnd"/>
            <w:r>
              <w:rPr>
                <w:rFonts w:ascii="宋体" w:hAnsi="宋体" w:cs="宋体"/>
                <w:bCs/>
                <w:color w:val="000000"/>
                <w:sz w:val="24"/>
              </w:rPr>
              <w:t xml:space="preserve"> 13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。交易后，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日本触媒、</w:t>
            </w:r>
            <w:r w:rsidRPr="00AB71F7">
              <w:rPr>
                <w:rFonts w:ascii="宋体" w:hAnsi="宋体" w:cs="宋体" w:hint="eastAsia"/>
                <w:bCs/>
                <w:color w:val="000000"/>
                <w:sz w:val="24"/>
              </w:rPr>
              <w:t>阿科玛投资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将持有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LIONEXT</w:t>
            </w:r>
            <w:proofErr w:type="spellEnd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的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51%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、4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9%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的股份，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共同</w:t>
            </w:r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控制</w:t>
            </w:r>
            <w:proofErr w:type="spellStart"/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LIONEXT</w:t>
            </w:r>
            <w:proofErr w:type="spellEnd"/>
            <w:r w:rsidRPr="006C249F">
              <w:rPr>
                <w:rFonts w:ascii="宋体" w:hAnsi="宋体" w:cs="宋体"/>
                <w:bCs/>
                <w:color w:val="000000"/>
                <w:sz w:val="24"/>
              </w:rPr>
              <w:t>。</w:t>
            </w:r>
          </w:p>
        </w:tc>
      </w:tr>
      <w:tr w:rsidR="00A47598" w:rsidRPr="00FB42D8" w14:paraId="4ED3297A" w14:textId="77777777" w:rsidTr="00A47598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55E734A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</w:rPr>
              <w:t>100字以内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 w14:paraId="63798E0F" w14:textId="77777777" w:rsidR="00A47598" w:rsidRPr="00FB42D8" w:rsidRDefault="00A47598" w:rsidP="00A47598">
            <w:pPr>
              <w:widowControl/>
              <w:numPr>
                <w:ilvl w:val="0"/>
                <w:numId w:val="5"/>
              </w:numPr>
              <w:adjustRightInd w:val="0"/>
              <w:snapToGrid w:val="0"/>
              <w:spacing w:after="240"/>
              <w:contextualSpacing/>
              <w:jc w:val="left"/>
              <w:rPr>
                <w:rFonts w:ascii="宋体" w:hAnsi="宋体" w:cs="宋体"/>
                <w:bCs/>
                <w:color w:val="000000"/>
                <w:kern w:val="0"/>
                <w:sz w:val="24"/>
                <w:lang w:val="en-GB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/>
              </w:rPr>
              <w:t>日本触媒</w:t>
            </w:r>
          </w:p>
        </w:tc>
        <w:tc>
          <w:tcPr>
            <w:tcW w:w="6093" w:type="dxa"/>
            <w:vAlign w:val="center"/>
          </w:tcPr>
          <w:p w14:paraId="494BCDC9" w14:textId="77777777" w:rsidR="00A47598" w:rsidRPr="00AE321D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AE321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日本触媒于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1941年8月21日成立于日本，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为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东京证券交易所上市公司。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主要业务为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基础化工材料、丙烯酸及相关衍生物、吸水性树脂材料、双氟磺酰亚胺锂及各类型催化剂等材料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、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农用化学品、光/电子原材料、表面活性剂等其他化学品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的销售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。</w:t>
            </w:r>
          </w:p>
          <w:p w14:paraId="7C2266EA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AE321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日本触媒没有最终控制人。</w:t>
            </w:r>
          </w:p>
        </w:tc>
      </w:tr>
      <w:tr w:rsidR="00A47598" w:rsidRPr="00FB42D8" w14:paraId="0D2C300E" w14:textId="77777777" w:rsidTr="00A47598">
        <w:trPr>
          <w:trHeight w:val="287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15EAFA93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 w14:paraId="729B974A" w14:textId="77777777" w:rsidR="00A47598" w:rsidRPr="00FB42D8" w:rsidRDefault="00A47598" w:rsidP="00A47598">
            <w:pPr>
              <w:widowControl/>
              <w:numPr>
                <w:ilvl w:val="0"/>
                <w:numId w:val="5"/>
              </w:numPr>
              <w:adjustRightInd w:val="0"/>
              <w:snapToGrid w:val="0"/>
              <w:spacing w:after="240"/>
              <w:contextualSpacing/>
              <w:jc w:val="left"/>
              <w:rPr>
                <w:rFonts w:ascii="宋体" w:hAnsi="宋体" w:cs="宋体"/>
                <w:bCs/>
                <w:color w:val="000000"/>
                <w:kern w:val="0"/>
                <w:sz w:val="24"/>
                <w:lang w:val="en-GB"/>
              </w:rPr>
            </w:pPr>
            <w:r w:rsidRPr="00AE32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/>
              </w:rPr>
              <w:t>阿科玛投资</w:t>
            </w:r>
          </w:p>
        </w:tc>
        <w:tc>
          <w:tcPr>
            <w:tcW w:w="6093" w:type="dxa"/>
            <w:vAlign w:val="center"/>
          </w:tcPr>
          <w:p w14:paraId="5607F36F" w14:textId="77777777" w:rsidR="00A47598" w:rsidRPr="00AE321D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bookmarkStart w:id="0" w:name="OLE_LINK15"/>
            <w:r w:rsidRPr="00AE321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阿科玛投资于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1998年5月12日成立于法国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，</w:t>
            </w:r>
            <w:bookmarkEnd w:id="0"/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主要业务为</w:t>
            </w:r>
            <w:r w:rsidRPr="00966FFA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集团内的投资控股</w:t>
            </w:r>
            <w:r w:rsidRPr="00AE321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。</w:t>
            </w:r>
          </w:p>
          <w:p w14:paraId="0A12C56A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AE321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阿科玛投资最终控制人为阿科玛股份有限公司，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主要业务为</w:t>
            </w:r>
            <w:r w:rsidRPr="00AE321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胶粘剂、先进材料、涂料和化学中间体的制造。</w:t>
            </w:r>
          </w:p>
        </w:tc>
      </w:tr>
      <w:tr w:rsidR="00A47598" w:rsidRPr="00FB42D8" w14:paraId="1744C736" w14:textId="77777777" w:rsidTr="00A47598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3C3391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7934180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 w:val="24"/>
                <w:lang w:val="en-GB"/>
              </w:rPr>
              <w:t>þ</w:t>
            </w:r>
            <w:r w:rsidRPr="00FB42D8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 xml:space="preserve"> 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1、在同一相关市场，所有参与集中的经营者所占市场份额之和小于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</w:rPr>
              <w:t>15%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A47598" w:rsidRPr="00FB42D8" w14:paraId="192309F4" w14:textId="77777777" w:rsidTr="00A47598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49B11D2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078FC4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2、存在上下游关系的参与集中的经营者，在上下游市场所占的市场份额均小于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</w:rPr>
              <w:t>25%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A47598" w:rsidRPr="00FB42D8" w14:paraId="42B423B5" w14:textId="77777777" w:rsidTr="00A47598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0418E82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E050C43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A47598" w:rsidRPr="00FB42D8" w14:paraId="1E795F73" w14:textId="77777777" w:rsidTr="00A47598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13CAA788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89B88A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7598" w:rsidRPr="00FB42D8" w14:paraId="70AB720B" w14:textId="77777777" w:rsidTr="00A47598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4F8609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2D5D724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7598" w:rsidRPr="00FB42D8" w14:paraId="2E73768F" w14:textId="77777777" w:rsidTr="00A47598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7C42F466" w14:textId="77777777" w:rsidR="00A47598" w:rsidRPr="00FB42D8" w:rsidRDefault="00A47598" w:rsidP="00A47598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FA6D62E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FB42D8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7598" w:rsidRPr="00FB42D8" w14:paraId="029EE707" w14:textId="77777777" w:rsidTr="00A47598">
        <w:trPr>
          <w:trHeight w:val="60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E98093E" w14:textId="77777777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FB42D8">
              <w:rPr>
                <w:rFonts w:ascii="宋体" w:hAnsi="宋体" w:cs="宋体" w:hint="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9A75954" w14:textId="77777777" w:rsidR="00A47598" w:rsidRDefault="00A47598" w:rsidP="00D166AF">
            <w:pPr>
              <w:adjustRightInd w:val="0"/>
              <w:snapToGrid w:val="0"/>
              <w:rPr>
                <w:rFonts w:ascii="宋体" w:hAnsi="宋体" w:cs="宋体"/>
                <w:b/>
                <w:bCs/>
                <w:color w:val="000000"/>
                <w:sz w:val="24"/>
                <w:lang w:val="en-GB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lang w:val="en-GB"/>
              </w:rPr>
              <w:t>横向重叠：</w:t>
            </w:r>
          </w:p>
          <w:p w14:paraId="341AC222" w14:textId="03B24FEE" w:rsidR="00A47598" w:rsidRPr="00DF0D31" w:rsidRDefault="00A47598" w:rsidP="00D166AF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  <w:lang w:val="en-GB"/>
              </w:rPr>
            </w:pP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全球双氟磺酰亚胺锂市场：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日本触媒：</w:t>
            </w: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10-15%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（2</w:t>
            </w: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022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年）</w:t>
            </w:r>
          </w:p>
          <w:p w14:paraId="01966B4C" w14:textId="6AB0FDFA" w:rsidR="00A47598" w:rsidRPr="00FB42D8" w:rsidRDefault="00A47598" w:rsidP="00D166AF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中国境内</w:t>
            </w: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双氟磺酰亚胺锂市场：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日本触媒：</w:t>
            </w: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5-10%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（2</w:t>
            </w:r>
            <w:r w:rsidRPr="00DF0D31">
              <w:rPr>
                <w:rFonts w:ascii="宋体" w:hAnsi="宋体" w:cs="宋体"/>
                <w:color w:val="000000"/>
                <w:sz w:val="24"/>
                <w:lang w:val="en-GB"/>
              </w:rPr>
              <w:t>022</w:t>
            </w:r>
            <w:r w:rsidRPr="00DF0D31">
              <w:rPr>
                <w:rFonts w:ascii="宋体" w:hAnsi="宋体" w:cs="宋体" w:hint="eastAsia"/>
                <w:color w:val="000000"/>
                <w:sz w:val="24"/>
                <w:lang w:val="en-GB"/>
              </w:rPr>
              <w:t>年）</w:t>
            </w:r>
          </w:p>
        </w:tc>
      </w:tr>
    </w:tbl>
    <w:p w14:paraId="065DD14A" w14:textId="77777777" w:rsidR="00875292" w:rsidRPr="00A47598" w:rsidRDefault="00C85E0E" w:rsidP="00515F36"/>
    <w:sectPr w:rsidR="00875292" w:rsidRPr="00A47598" w:rsidSect="00740D90">
      <w:headerReference w:type="default" r:id="rId10"/>
      <w:footerReference w:type="default" r:id="rId11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528F0" w14:textId="77777777" w:rsidR="00C85E0E" w:rsidRDefault="00C85E0E" w:rsidP="009D4707">
      <w:r>
        <w:separator/>
      </w:r>
    </w:p>
  </w:endnote>
  <w:endnote w:type="continuationSeparator" w:id="0">
    <w:p w14:paraId="71418DA8" w14:textId="77777777" w:rsidR="00C85E0E" w:rsidRDefault="00C85E0E" w:rsidP="009D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7090068"/>
      <w:docPartObj>
        <w:docPartGallery w:val="Page Numbers (Bottom of Page)"/>
        <w:docPartUnique/>
      </w:docPartObj>
    </w:sdtPr>
    <w:sdtEndPr/>
    <w:sdtContent>
      <w:p w14:paraId="7C232398" w14:textId="4C55FB02" w:rsidR="00515F36" w:rsidRDefault="00515F3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C08D3C" w14:textId="77777777" w:rsidR="00AF4814" w:rsidRDefault="00C85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2D28C" w14:textId="77777777" w:rsidR="00C85E0E" w:rsidRDefault="00C85E0E" w:rsidP="009D4707">
      <w:r>
        <w:separator/>
      </w:r>
    </w:p>
  </w:footnote>
  <w:footnote w:type="continuationSeparator" w:id="0">
    <w:p w14:paraId="152A0219" w14:textId="77777777" w:rsidR="00C85E0E" w:rsidRDefault="00C85E0E" w:rsidP="009D4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05AF5" w14:textId="77777777" w:rsidR="00AF4814" w:rsidRDefault="00C85E0E" w:rsidP="001652C8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B2658"/>
    <w:multiLevelType w:val="multilevel"/>
    <w:tmpl w:val="6AF4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2E4583E"/>
    <w:multiLevelType w:val="hybridMultilevel"/>
    <w:tmpl w:val="A2CE40D2"/>
    <w:lvl w:ilvl="0" w:tplc="FFFFFFFF">
      <w:start w:val="1"/>
      <w:numFmt w:val="decimal"/>
      <w:pStyle w:val="GleissListeI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pStyle w:val="GleissListe1"/>
      <w:lvlText w:val="%2."/>
      <w:lvlJc w:val="left"/>
      <w:pPr>
        <w:ind w:left="1080" w:hanging="360"/>
      </w:pPr>
    </w:lvl>
    <w:lvl w:ilvl="2" w:tplc="FFFFFFFF">
      <w:start w:val="1"/>
      <w:numFmt w:val="lowerRoman"/>
      <w:pStyle w:val="GleissListe11"/>
      <w:lvlText w:val="%3."/>
      <w:lvlJc w:val="right"/>
      <w:pPr>
        <w:ind w:left="1800" w:hanging="180"/>
      </w:pPr>
    </w:lvl>
    <w:lvl w:ilvl="3" w:tplc="FFFFFFFF">
      <w:start w:val="1"/>
      <w:numFmt w:val="decimal"/>
      <w:pStyle w:val="GleissListe111"/>
      <w:lvlText w:val="%4."/>
      <w:lvlJc w:val="left"/>
      <w:pPr>
        <w:ind w:left="2520" w:hanging="360"/>
      </w:pPr>
    </w:lvl>
    <w:lvl w:ilvl="4" w:tplc="FFFFFFFF">
      <w:start w:val="1"/>
      <w:numFmt w:val="lowerLetter"/>
      <w:pStyle w:val="GleissListea"/>
      <w:lvlText w:val="%5."/>
      <w:lvlJc w:val="left"/>
      <w:pPr>
        <w:ind w:left="3240" w:hanging="360"/>
      </w:pPr>
    </w:lvl>
    <w:lvl w:ilvl="5" w:tplc="FFFFFFFF">
      <w:start w:val="1"/>
      <w:numFmt w:val="lowerRoman"/>
      <w:pStyle w:val="GleissListeaa"/>
      <w:lvlText w:val="%6."/>
      <w:lvlJc w:val="right"/>
      <w:pPr>
        <w:ind w:left="3960" w:hanging="180"/>
      </w:pPr>
    </w:lvl>
    <w:lvl w:ilvl="6" w:tplc="FFFFFFFF">
      <w:start w:val="1"/>
      <w:numFmt w:val="decimal"/>
      <w:pStyle w:val="GleissListe10"/>
      <w:lvlText w:val="%7."/>
      <w:lvlJc w:val="left"/>
      <w:pPr>
        <w:ind w:left="4680" w:hanging="360"/>
      </w:pPr>
    </w:lvl>
    <w:lvl w:ilvl="7" w:tplc="FFFFFFFF">
      <w:start w:val="1"/>
      <w:numFmt w:val="lowerLetter"/>
      <w:pStyle w:val="GleissListea0"/>
      <w:lvlText w:val="%8."/>
      <w:lvlJc w:val="left"/>
      <w:pPr>
        <w:ind w:left="5400" w:hanging="360"/>
      </w:pPr>
    </w:lvl>
    <w:lvl w:ilvl="8" w:tplc="FFFFFFFF">
      <w:start w:val="1"/>
      <w:numFmt w:val="lowerRoman"/>
      <w:pStyle w:val="GleissListei0"/>
      <w:lvlText w:val="%9."/>
      <w:lvlJc w:val="right"/>
      <w:pPr>
        <w:ind w:left="6120" w:hanging="180"/>
      </w:pPr>
    </w:lvl>
  </w:abstractNum>
  <w:abstractNum w:abstractNumId="3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0NzAyMTEzMTQxMTJQ0lEKTi0uzszPAykwqQUAohAvGSwAAAA="/>
    <w:docVar w:name="OfficeIni" w:val="Shanghai - Baker &amp; McKenzie FenXun - SIMPLIFIED CHINESE (ALL).ini"/>
  </w:docVars>
  <w:rsids>
    <w:rsidRoot w:val="00017741"/>
    <w:rsid w:val="0000184B"/>
    <w:rsid w:val="000123B6"/>
    <w:rsid w:val="00016C2A"/>
    <w:rsid w:val="00017741"/>
    <w:rsid w:val="000259B9"/>
    <w:rsid w:val="00082C93"/>
    <w:rsid w:val="00096C02"/>
    <w:rsid w:val="000D6A8D"/>
    <w:rsid w:val="001255B6"/>
    <w:rsid w:val="00135428"/>
    <w:rsid w:val="00153D2A"/>
    <w:rsid w:val="00174767"/>
    <w:rsid w:val="00175615"/>
    <w:rsid w:val="001C4A68"/>
    <w:rsid w:val="001E707E"/>
    <w:rsid w:val="00215D0C"/>
    <w:rsid w:val="002351D0"/>
    <w:rsid w:val="00281C49"/>
    <w:rsid w:val="002B4729"/>
    <w:rsid w:val="002B549E"/>
    <w:rsid w:val="002F196D"/>
    <w:rsid w:val="00313FEC"/>
    <w:rsid w:val="00324778"/>
    <w:rsid w:val="00341EBC"/>
    <w:rsid w:val="00361219"/>
    <w:rsid w:val="003B428A"/>
    <w:rsid w:val="003B6E1E"/>
    <w:rsid w:val="003C2B0D"/>
    <w:rsid w:val="0041294F"/>
    <w:rsid w:val="00444A72"/>
    <w:rsid w:val="00454C1B"/>
    <w:rsid w:val="0047305D"/>
    <w:rsid w:val="0047543C"/>
    <w:rsid w:val="00493FE0"/>
    <w:rsid w:val="004B7297"/>
    <w:rsid w:val="004C002A"/>
    <w:rsid w:val="00501883"/>
    <w:rsid w:val="00515F36"/>
    <w:rsid w:val="00524C31"/>
    <w:rsid w:val="00561B9A"/>
    <w:rsid w:val="00570628"/>
    <w:rsid w:val="0058413B"/>
    <w:rsid w:val="00592CA4"/>
    <w:rsid w:val="0059782C"/>
    <w:rsid w:val="005A24A1"/>
    <w:rsid w:val="006026B4"/>
    <w:rsid w:val="00630DD7"/>
    <w:rsid w:val="006336E2"/>
    <w:rsid w:val="00660036"/>
    <w:rsid w:val="00662F0E"/>
    <w:rsid w:val="0067782D"/>
    <w:rsid w:val="00692D56"/>
    <w:rsid w:val="006D376B"/>
    <w:rsid w:val="006D54C1"/>
    <w:rsid w:val="006E50B6"/>
    <w:rsid w:val="007315B8"/>
    <w:rsid w:val="00737AA0"/>
    <w:rsid w:val="00755254"/>
    <w:rsid w:val="007972DB"/>
    <w:rsid w:val="007C4B3A"/>
    <w:rsid w:val="00854DCA"/>
    <w:rsid w:val="00883948"/>
    <w:rsid w:val="008C31BA"/>
    <w:rsid w:val="008D052B"/>
    <w:rsid w:val="008D5D93"/>
    <w:rsid w:val="008F39FE"/>
    <w:rsid w:val="009103E6"/>
    <w:rsid w:val="0093501E"/>
    <w:rsid w:val="00950141"/>
    <w:rsid w:val="00951B19"/>
    <w:rsid w:val="00953AFC"/>
    <w:rsid w:val="009724AC"/>
    <w:rsid w:val="00991D6B"/>
    <w:rsid w:val="009968E0"/>
    <w:rsid w:val="009A1259"/>
    <w:rsid w:val="009C173A"/>
    <w:rsid w:val="009D4707"/>
    <w:rsid w:val="009F65D1"/>
    <w:rsid w:val="00A47598"/>
    <w:rsid w:val="00A8162E"/>
    <w:rsid w:val="00A979D5"/>
    <w:rsid w:val="00AB0A5A"/>
    <w:rsid w:val="00B0406F"/>
    <w:rsid w:val="00B05839"/>
    <w:rsid w:val="00B31EE9"/>
    <w:rsid w:val="00B54A09"/>
    <w:rsid w:val="00B6062F"/>
    <w:rsid w:val="00B97D43"/>
    <w:rsid w:val="00BC10A1"/>
    <w:rsid w:val="00C07438"/>
    <w:rsid w:val="00C2591B"/>
    <w:rsid w:val="00C707DD"/>
    <w:rsid w:val="00C721F0"/>
    <w:rsid w:val="00C85933"/>
    <w:rsid w:val="00C85E0E"/>
    <w:rsid w:val="00C910A9"/>
    <w:rsid w:val="00CC5B23"/>
    <w:rsid w:val="00CE2C51"/>
    <w:rsid w:val="00D057CC"/>
    <w:rsid w:val="00D3065B"/>
    <w:rsid w:val="00D31FAD"/>
    <w:rsid w:val="00D35338"/>
    <w:rsid w:val="00D50D31"/>
    <w:rsid w:val="00D55967"/>
    <w:rsid w:val="00D81111"/>
    <w:rsid w:val="00D926A1"/>
    <w:rsid w:val="00D92C82"/>
    <w:rsid w:val="00E05E31"/>
    <w:rsid w:val="00E50587"/>
    <w:rsid w:val="00E52E07"/>
    <w:rsid w:val="00EC334D"/>
    <w:rsid w:val="00EE6606"/>
    <w:rsid w:val="00F576EC"/>
    <w:rsid w:val="00F57DDE"/>
    <w:rsid w:val="00F76066"/>
    <w:rsid w:val="00F8530B"/>
    <w:rsid w:val="00F95D43"/>
    <w:rsid w:val="00FC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DE208"/>
  <w15:docId w15:val="{83A8079D-2CF3-4CAC-AC27-196E7B5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4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4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99"/>
    <w:qFormat/>
    <w:rsid w:val="00F95D4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95D43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rsid w:val="00F95D43"/>
    <w:rPr>
      <w:sz w:val="18"/>
      <w:szCs w:val="18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F95D43"/>
    <w:rPr>
      <w:rFonts w:ascii="Times New Roman" w:eastAsia="宋体" w:hAnsi="Times New Roman" w:cs="Times New Roman"/>
      <w:sz w:val="18"/>
      <w:szCs w:val="18"/>
      <w:lang w:val="x-none" w:eastAsia="x-none"/>
    </w:rPr>
  </w:style>
  <w:style w:type="numbering" w:customStyle="1" w:styleId="BMListNumbers">
    <w:name w:val="B&amp;M List Numbers"/>
    <w:uiPriority w:val="99"/>
    <w:rsid w:val="00E50587"/>
    <w:pPr>
      <w:numPr>
        <w:numId w:val="3"/>
      </w:numPr>
    </w:pPr>
  </w:style>
  <w:style w:type="numbering" w:customStyle="1" w:styleId="BMListNumbers1">
    <w:name w:val="B&amp;M List Numbers1"/>
    <w:uiPriority w:val="99"/>
    <w:rsid w:val="00515F36"/>
  </w:style>
  <w:style w:type="paragraph" w:customStyle="1" w:styleId="FWBL2">
    <w:name w:val="FWB_L2"/>
    <w:basedOn w:val="FWBL1"/>
    <w:qFormat/>
    <w:rsid w:val="00A47598"/>
    <w:pPr>
      <w:keepNext w:val="0"/>
      <w:keepLines w:val="0"/>
      <w:tabs>
        <w:tab w:val="clear" w:pos="709"/>
        <w:tab w:val="num" w:pos="1418"/>
      </w:tabs>
      <w:ind w:left="1418"/>
      <w:jc w:val="both"/>
      <w:outlineLvl w:val="9"/>
    </w:pPr>
    <w:rPr>
      <w:b w:val="0"/>
      <w:smallCaps w:val="0"/>
    </w:rPr>
  </w:style>
  <w:style w:type="paragraph" w:customStyle="1" w:styleId="FWBL1">
    <w:name w:val="FWB_L1"/>
    <w:basedOn w:val="Normal"/>
    <w:next w:val="FWBL2"/>
    <w:rsid w:val="00A47598"/>
    <w:pPr>
      <w:keepNext/>
      <w:keepLines/>
      <w:widowControl/>
      <w:tabs>
        <w:tab w:val="num" w:pos="709"/>
      </w:tabs>
      <w:spacing w:after="240"/>
      <w:ind w:left="709" w:hanging="709"/>
      <w:jc w:val="left"/>
      <w:outlineLvl w:val="0"/>
    </w:pPr>
    <w:rPr>
      <w:rFonts w:eastAsia="Times New Roman"/>
      <w:b/>
      <w:smallCaps/>
      <w:kern w:val="0"/>
      <w:sz w:val="24"/>
      <w:szCs w:val="20"/>
      <w:lang w:eastAsia="en-US"/>
    </w:rPr>
  </w:style>
  <w:style w:type="paragraph" w:customStyle="1" w:styleId="FWBL3">
    <w:name w:val="FWB_L3"/>
    <w:basedOn w:val="FWBL2"/>
    <w:rsid w:val="00A47598"/>
    <w:pPr>
      <w:tabs>
        <w:tab w:val="clear" w:pos="1418"/>
        <w:tab w:val="num" w:pos="360"/>
        <w:tab w:val="num" w:pos="2126"/>
      </w:tabs>
      <w:ind w:left="1260" w:hanging="420"/>
    </w:pPr>
  </w:style>
  <w:style w:type="paragraph" w:customStyle="1" w:styleId="FWBL4">
    <w:name w:val="FWB_L4"/>
    <w:basedOn w:val="FWBL3"/>
    <w:rsid w:val="00A47598"/>
    <w:pPr>
      <w:tabs>
        <w:tab w:val="num" w:pos="2835"/>
      </w:tabs>
      <w:ind w:left="1680"/>
    </w:pPr>
  </w:style>
  <w:style w:type="paragraph" w:customStyle="1" w:styleId="FWBL5">
    <w:name w:val="FWB_L5"/>
    <w:basedOn w:val="FWBL4"/>
    <w:rsid w:val="00A47598"/>
    <w:pPr>
      <w:tabs>
        <w:tab w:val="num" w:pos="1440"/>
      </w:tabs>
      <w:ind w:left="1440" w:hanging="216"/>
    </w:pPr>
  </w:style>
  <w:style w:type="paragraph" w:customStyle="1" w:styleId="FWBL6">
    <w:name w:val="FWB_L6"/>
    <w:basedOn w:val="FWBL5"/>
    <w:rsid w:val="00A47598"/>
    <w:pPr>
      <w:ind w:left="2520" w:hanging="420"/>
    </w:pPr>
  </w:style>
  <w:style w:type="paragraph" w:customStyle="1" w:styleId="FWBL7">
    <w:name w:val="FWB_L7"/>
    <w:basedOn w:val="FWBL6"/>
    <w:qFormat/>
    <w:rsid w:val="00A47598"/>
    <w:pPr>
      <w:ind w:left="2940"/>
    </w:pPr>
  </w:style>
  <w:style w:type="paragraph" w:customStyle="1" w:styleId="FWBL8">
    <w:name w:val="FWB_L8"/>
    <w:basedOn w:val="FWBL7"/>
    <w:rsid w:val="00A47598"/>
    <w:pPr>
      <w:ind w:left="3360"/>
    </w:pPr>
  </w:style>
  <w:style w:type="paragraph" w:customStyle="1" w:styleId="GleissListe10">
    <w:name w:val="Gleiss Liste (1)"/>
    <w:basedOn w:val="Normal"/>
    <w:rsid w:val="00A47598"/>
    <w:pPr>
      <w:widowControl/>
      <w:numPr>
        <w:ilvl w:val="6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0">
    <w:name w:val="Gleiss Liste (a)"/>
    <w:basedOn w:val="Normal"/>
    <w:rsid w:val="00A47598"/>
    <w:pPr>
      <w:widowControl/>
      <w:numPr>
        <w:ilvl w:val="7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i0">
    <w:name w:val="Gleiss Liste (i)"/>
    <w:basedOn w:val="Normal"/>
    <w:rsid w:val="00A47598"/>
    <w:pPr>
      <w:widowControl/>
      <w:numPr>
        <w:ilvl w:val="8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">
    <w:name w:val="Gleiss Liste 1."/>
    <w:basedOn w:val="Normal"/>
    <w:rsid w:val="00A47598"/>
    <w:pPr>
      <w:widowControl/>
      <w:numPr>
        <w:ilvl w:val="1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1">
    <w:name w:val="Gleiss Liste 1.1"/>
    <w:basedOn w:val="Normal"/>
    <w:rsid w:val="00A47598"/>
    <w:pPr>
      <w:widowControl/>
      <w:numPr>
        <w:ilvl w:val="2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11">
    <w:name w:val="Gleiss Liste 1.1.1"/>
    <w:basedOn w:val="Normal"/>
    <w:rsid w:val="00A47598"/>
    <w:pPr>
      <w:widowControl/>
      <w:numPr>
        <w:ilvl w:val="3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">
    <w:name w:val="Gleiss Liste a)"/>
    <w:basedOn w:val="Normal"/>
    <w:rsid w:val="00A47598"/>
    <w:pPr>
      <w:widowControl/>
      <w:numPr>
        <w:ilvl w:val="4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a">
    <w:name w:val="Gleiss Liste aa)"/>
    <w:basedOn w:val="Normal"/>
    <w:rsid w:val="00A47598"/>
    <w:pPr>
      <w:widowControl/>
      <w:numPr>
        <w:ilvl w:val="5"/>
        <w:numId w:val="5"/>
      </w:numPr>
      <w:spacing w:after="200" w:line="300" w:lineRule="atLeast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I">
    <w:name w:val="Gleiss Liste I."/>
    <w:basedOn w:val="Normal"/>
    <w:rsid w:val="00A47598"/>
    <w:pPr>
      <w:widowControl/>
      <w:numPr>
        <w:numId w:val="5"/>
      </w:numPr>
      <w:spacing w:after="200" w:line="300" w:lineRule="atLeast"/>
      <w:outlineLvl w:val="0"/>
    </w:pPr>
    <w:rPr>
      <w:rFonts w:eastAsia="Times New Roman"/>
      <w:kern w:val="0"/>
      <w:sz w:val="22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E63AF59CAD09D4B9788F469F8B15532" ma:contentTypeVersion="10" ma:contentTypeDescription="新建文档。" ma:contentTypeScope="" ma:versionID="22af81d8bf592dce6bb9cec023739ac9">
  <xsd:schema xmlns:xsd="http://www.w3.org/2001/XMLSchema" xmlns:xs="http://www.w3.org/2001/XMLSchema" xmlns:p="http://schemas.microsoft.com/office/2006/metadata/properties" xmlns:ns2="9d40f809-dd3f-4337-a031-8a50b824ee5a" xmlns:ns3="d902dde7-c11f-4e08-ae00-276e6e44fbaa" targetNamespace="http://schemas.microsoft.com/office/2006/metadata/properties" ma:root="true" ma:fieldsID="b944246c77837782c9af1658b7d35314" ns2:_="" ns3:_="">
    <xsd:import namespace="9d40f809-dd3f-4337-a031-8a50b824ee5a"/>
    <xsd:import namespace="d902dde7-c11f-4e08-ae00-276e6e44f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0f809-dd3f-4337-a031-8a50b824e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e448508-a9a3-48d0-8e82-3ccdae471c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2dde7-c11f-4e08-ae00-276e6e44fb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a66247-19a6-4971-9dad-d4315bd811e4}" ma:internalName="TaxCatchAll" ma:showField="CatchAllData" ma:web="d902dde7-c11f-4e08-ae00-276e6e44fb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0f809-dd3f-4337-a031-8a50b824ee5a">
      <Terms xmlns="http://schemas.microsoft.com/office/infopath/2007/PartnerControls"/>
    </lcf76f155ced4ddcb4097134ff3c332f>
    <TaxCatchAll xmlns="d902dde7-c11f-4e08-ae00-276e6e44fbaa" xsi:nil="true"/>
  </documentManagement>
</p:properties>
</file>

<file path=customXml/itemProps1.xml><?xml version="1.0" encoding="utf-8"?>
<ds:datastoreItem xmlns:ds="http://schemas.openxmlformats.org/officeDocument/2006/customXml" ds:itemID="{7BD66BBE-7C09-44A9-988E-D451BA534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E25308-AC50-4E78-85E5-7CB71B9B9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40f809-dd3f-4337-a031-8a50b824ee5a"/>
    <ds:schemaRef ds:uri="d902dde7-c11f-4e08-ae00-276e6e44f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7B4A00-6411-4B09-A3D8-7CBA8DDB5A2F}">
  <ds:schemaRefs>
    <ds:schemaRef ds:uri="http://schemas.microsoft.com/office/2006/metadata/properties"/>
    <ds:schemaRef ds:uri="http://schemas.microsoft.com/office/infopath/2007/PartnerControls"/>
    <ds:schemaRef ds:uri="9d40f809-dd3f-4337-a031-8a50b824ee5a"/>
    <ds:schemaRef ds:uri="d902dde7-c11f-4e08-ae00-276e6e44fb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McKenzie FenXun</cp:lastModifiedBy>
  <cp:revision>14</cp:revision>
  <cp:lastPrinted>2019-06-21T10:07:00Z</cp:lastPrinted>
  <dcterms:created xsi:type="dcterms:W3CDTF">2022-07-01T03:18:00Z</dcterms:created>
  <dcterms:modified xsi:type="dcterms:W3CDTF">2023-04-27T09:36:00Z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0x0101000E63AF59CAD09D4B9788F469F8B15532</vt:lpwstr>
  </property>
</Properties>
</file>