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SimHei" w:hAnsi="SimHei" w:eastAsia="SimHei" w:cs="SimHei"/>
          <w:bCs/>
          <w:sz w:val="36"/>
          <w:szCs w:val="36"/>
          <w:lang w:eastAsia="zh-CN" w:bidi="ar-AE"/>
        </w:rPr>
      </w:pPr>
      <w:r>
        <w:rPr>
          <w:rFonts w:hint="eastAsia" w:ascii="SimHei" w:hAnsi="SimHei" w:eastAsia="SimHei" w:cs="SimHei"/>
          <w:bCs/>
          <w:sz w:val="36"/>
          <w:szCs w:val="36"/>
          <w:lang w:eastAsia="zh-CN" w:bidi="ar-AE"/>
        </w:rPr>
        <w:t>经营者集中简易案件公示表</w:t>
      </w:r>
    </w:p>
    <w:tbl>
      <w:tblPr>
        <w:tblStyle w:val="4"/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549"/>
        <w:gridCol w:w="5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en-GB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eastAsia="en-GB" w:bidi="ar-AE"/>
              </w:rPr>
              <w:t>案件名称</w:t>
            </w: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bookmarkStart w:id="0" w:name="_Hlk134156566"/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斯蒂芬·皮耶尔</w:t>
            </w:r>
            <w:bookmarkEnd w:id="0"/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收购莱尼股份公司股权案（“</w:t>
            </w:r>
            <w:r>
              <w:rPr>
                <w:rFonts w:hint="eastAsia"/>
                <w:b/>
                <w:bCs/>
                <w:kern w:val="2"/>
                <w:sz w:val="22"/>
                <w:szCs w:val="22"/>
                <w:lang w:val="en-US" w:eastAsia="zh-CN"/>
              </w:rPr>
              <w:t>本交易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交易概况（限</w:t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>200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字内）</w:t>
            </w: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before="120" w:after="120"/>
              <w:rPr>
                <w:i/>
                <w:iCs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根据斯蒂芬·皮耶尔（“</w:t>
            </w:r>
            <w:r>
              <w:rPr>
                <w:rFonts w:hint="eastAsia"/>
                <w:b/>
                <w:bCs/>
                <w:kern w:val="2"/>
                <w:sz w:val="22"/>
                <w:szCs w:val="22"/>
                <w:lang w:val="en-US" w:eastAsia="zh-CN"/>
              </w:rPr>
              <w:t>皮耶尔先生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”）与莱尼股份有限公司（“</w:t>
            </w:r>
            <w:r>
              <w:rPr>
                <w:rFonts w:hint="eastAsia"/>
                <w:b/>
                <w:bCs/>
                <w:kern w:val="2"/>
                <w:sz w:val="22"/>
                <w:szCs w:val="22"/>
                <w:lang w:val="en-US" w:eastAsia="zh-CN"/>
              </w:rPr>
              <w:t>莱尼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”）签署的出资承诺协议，皮耶尔先生将间接收购莱尼的</w:t>
            </w:r>
            <w:r>
              <w:rPr>
                <w:kern w:val="2"/>
                <w:sz w:val="22"/>
                <w:szCs w:val="22"/>
                <w:lang w:val="en-US" w:eastAsia="zh-CN"/>
              </w:rPr>
              <w:t>100%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股本。莱尼主要生产及销售汽车线束系统及车用电缆。在本交易完成前，莱尼并无任何最终控制人。在本交易完成后，皮耶尔先生将间接持有莱尼1</w:t>
            </w:r>
            <w:r>
              <w:rPr>
                <w:kern w:val="2"/>
                <w:sz w:val="22"/>
                <w:szCs w:val="22"/>
                <w:lang w:val="en-US" w:eastAsia="zh-CN"/>
              </w:rPr>
              <w:t>00%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的股权并单独控制莱尼。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参与集中的经营者简介（每个限</w:t>
            </w:r>
            <w:r>
              <w:rPr>
                <w:bCs/>
                <w:color w:val="000000"/>
                <w:sz w:val="22"/>
                <w:szCs w:val="22"/>
                <w:lang w:val="en-US" w:eastAsia="zh-CN" w:bidi="ar-AE"/>
              </w:rPr>
              <w:t>100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字以内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）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皮耶尔先生</w:t>
            </w:r>
          </w:p>
        </w:tc>
        <w:tc>
          <w:tcPr>
            <w:tcW w:w="5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before="120" w:after="120"/>
              <w:jc w:val="both"/>
              <w:rPr>
                <w:kern w:val="2"/>
                <w:sz w:val="22"/>
                <w:szCs w:val="22"/>
                <w:lang w:eastAsia="zh-CN"/>
              </w:rPr>
            </w:pPr>
            <w:r>
              <w:rPr>
                <w:rFonts w:hint="eastAsia"/>
                <w:kern w:val="2"/>
                <w:sz w:val="22"/>
                <w:szCs w:val="22"/>
                <w:lang w:val="de-DE" w:eastAsia="zh-CN"/>
              </w:rPr>
              <w:t>皮耶尔先生是一名奥地利籍的企业家。皮耶尔先生通过皮耶尔集团公司开展业务，后者是一家全球工业投资集团，从事摩托车、电动自行车和电动两轮车部件的生产和经销业务；赛车、豪华汽车和航空动态组件的高科技机械系统的开发、生产、维护和经销业务；以及低碳刹车、泵和发动机部件的生产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莱尼</w:t>
            </w:r>
          </w:p>
        </w:tc>
        <w:tc>
          <w:tcPr>
            <w:tcW w:w="5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kern w:val="2"/>
                <w:sz w:val="22"/>
                <w:szCs w:val="22"/>
                <w:lang w:eastAsia="zh-CN"/>
              </w:rPr>
            </w:pPr>
            <w:r>
              <w:rPr>
                <w:rFonts w:hint="eastAsia"/>
                <w:kern w:val="2"/>
                <w:sz w:val="22"/>
                <w:szCs w:val="22"/>
                <w:lang w:eastAsia="zh-CN"/>
              </w:rPr>
              <w:t>莱尼于</w:t>
            </w:r>
            <w:r>
              <w:rPr>
                <w:kern w:val="2"/>
                <w:sz w:val="22"/>
                <w:szCs w:val="22"/>
                <w:lang w:eastAsia="zh-CN"/>
              </w:rPr>
              <w:t>1917</w:t>
            </w:r>
            <w:r>
              <w:rPr>
                <w:rFonts w:hint="eastAsia"/>
                <w:kern w:val="2"/>
                <w:sz w:val="22"/>
                <w:szCs w:val="22"/>
                <w:lang w:eastAsia="zh-CN"/>
              </w:rPr>
              <w:t>年注册于德国。莱尼是一家上市公司，其股票在法兰克福证券交易所上市交易。</w:t>
            </w: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莱尼主要生产及销售汽车线束系统及车用电缆。</w:t>
            </w:r>
          </w:p>
          <w:p>
            <w:pPr>
              <w:widowControl w:val="0"/>
              <w:spacing w:before="120" w:after="120"/>
              <w:jc w:val="both"/>
              <w:rPr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kern w:val="2"/>
                <w:sz w:val="22"/>
                <w:szCs w:val="22"/>
                <w:lang w:val="en-US" w:eastAsia="zh-CN"/>
              </w:rPr>
              <w:t>莱尼无任何最终控制人。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简易案件理由（可以单选，也可以多选）</w:t>
            </w: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F0A8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1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、在同一相关市场，所有参与集中的经营者所占市场份额之和小于</w:t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>15%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bookmarkStart w:id="1" w:name="_GoBack"/>
            <w:bookmarkEnd w:id="1"/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00FE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2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、存在上下游关系的参与集中的经营者，在上下游市场所占的市场份额均小于</w:t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>25%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00A8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 3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、不在同一相关市场、也不存在上下游关系的参与集中的经营者，在与交易有关的每个市场所占的份额均小于</w:t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>25%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F0A8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4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F0A8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5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120" w:after="120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sym w:font="Wingdings" w:char="F0A8"/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 xml:space="preserve"> 6</w:t>
            </w: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备注</w:t>
            </w:r>
          </w:p>
        </w:tc>
        <w:tc>
          <w:tcPr>
            <w:tcW w:w="7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before="120" w:after="120"/>
              <w:jc w:val="both"/>
              <w:rPr>
                <w:b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eastAsia"/>
                <w:b/>
                <w:color w:val="000000"/>
                <w:sz w:val="22"/>
                <w:szCs w:val="22"/>
                <w:lang w:eastAsia="zh-CN" w:bidi="ar-AE"/>
              </w:rPr>
              <w:t>纵向关联：</w:t>
            </w:r>
          </w:p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eastAsia="zh-CN" w:bidi="ar-AE"/>
              </w:rPr>
              <w:t>上游：</w:t>
            </w:r>
            <w:r>
              <w:rPr>
                <w:bCs/>
                <w:color w:val="000000"/>
                <w:sz w:val="22"/>
                <w:szCs w:val="22"/>
                <w:lang w:val="en-US" w:eastAsia="zh-CN" w:bidi="ar-AE"/>
              </w:rPr>
              <w:t>2022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年中国车用电缆市场：</w:t>
            </w:r>
          </w:p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莱尼：</w:t>
            </w:r>
            <w:r>
              <w:rPr>
                <w:bCs/>
                <w:color w:val="000000"/>
                <w:sz w:val="22"/>
                <w:szCs w:val="22"/>
                <w:lang w:val="en-US" w:eastAsia="zh-CN" w:bidi="ar-AE"/>
              </w:rPr>
              <w:t>5-10%</w:t>
            </w:r>
          </w:p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下游：</w:t>
            </w:r>
            <w:r>
              <w:rPr>
                <w:bCs/>
                <w:color w:val="000000"/>
                <w:sz w:val="22"/>
                <w:szCs w:val="22"/>
                <w:lang w:eastAsia="zh-CN" w:bidi="ar-AE"/>
              </w:rPr>
              <w:t>2022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年中国摩托车市场：</w:t>
            </w:r>
          </w:p>
          <w:p>
            <w:pPr>
              <w:adjustRightInd w:val="0"/>
              <w:snapToGrid w:val="0"/>
              <w:spacing w:before="120" w:after="120"/>
              <w:jc w:val="both"/>
              <w:rPr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 w:bidi="ar-AE"/>
              </w:rPr>
              <w:t>皮耶尔先生：</w:t>
            </w:r>
            <w:r>
              <w:rPr>
                <w:bCs/>
                <w:color w:val="000000"/>
                <w:sz w:val="22"/>
                <w:szCs w:val="22"/>
                <w:lang w:val="en-US" w:eastAsia="zh-CN" w:bidi="ar-AE"/>
              </w:rPr>
              <w:t>0-5%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8E"/>
    <w:rsid w:val="00083E7D"/>
    <w:rsid w:val="00114B7E"/>
    <w:rsid w:val="002161AD"/>
    <w:rsid w:val="00286233"/>
    <w:rsid w:val="002D6ABD"/>
    <w:rsid w:val="00306FD9"/>
    <w:rsid w:val="00376E8E"/>
    <w:rsid w:val="003B5A9F"/>
    <w:rsid w:val="00521A48"/>
    <w:rsid w:val="005329F7"/>
    <w:rsid w:val="00565161"/>
    <w:rsid w:val="00590C45"/>
    <w:rsid w:val="006B0747"/>
    <w:rsid w:val="006D720B"/>
    <w:rsid w:val="00720E88"/>
    <w:rsid w:val="00722994"/>
    <w:rsid w:val="007B7E84"/>
    <w:rsid w:val="00856409"/>
    <w:rsid w:val="008748C6"/>
    <w:rsid w:val="008B6E7B"/>
    <w:rsid w:val="009C31A1"/>
    <w:rsid w:val="009E1A65"/>
    <w:rsid w:val="009F7835"/>
    <w:rsid w:val="00BA5B8B"/>
    <w:rsid w:val="00BF7BEE"/>
    <w:rsid w:val="00C82B53"/>
    <w:rsid w:val="00C86763"/>
    <w:rsid w:val="00CA4E38"/>
    <w:rsid w:val="00D05FE5"/>
    <w:rsid w:val="00D67A72"/>
    <w:rsid w:val="00E312A3"/>
    <w:rsid w:val="00F2313D"/>
    <w:rsid w:val="00F4768D"/>
    <w:rsid w:val="00F73BB8"/>
    <w:rsid w:val="00FB2411"/>
    <w:rsid w:val="00FE6CA0"/>
    <w:rsid w:val="B3FFC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宋体" w:cs="Times New Roman"/>
      <w:sz w:val="24"/>
      <w:szCs w:val="24"/>
      <w:lang w:val="en-GB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</w:pPr>
  </w:style>
  <w:style w:type="paragraph" w:customStyle="1" w:styleId="6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4"/>
      <w:szCs w:val="24"/>
      <w:lang w:val="en-GB" w:eastAsia="en-US" w:bidi="ar-SA"/>
    </w:rPr>
  </w:style>
  <w:style w:type="character" w:customStyle="1" w:styleId="7">
    <w:name w:val="Header Char"/>
    <w:basedOn w:val="5"/>
    <w:link w:val="3"/>
    <w:qFormat/>
    <w:uiPriority w:val="99"/>
    <w:rPr>
      <w:rFonts w:ascii="Times New Roman" w:hAnsi="Times New Roman" w:eastAsia="宋体" w:cs="Times New Roman"/>
      <w:sz w:val="24"/>
      <w:szCs w:val="24"/>
      <w:lang w:eastAsia="en-US"/>
    </w:rPr>
  </w:style>
  <w:style w:type="character" w:customStyle="1" w:styleId="8">
    <w:name w:val="Footer Char"/>
    <w:basedOn w:val="5"/>
    <w:link w:val="2"/>
    <w:qFormat/>
    <w:uiPriority w:val="99"/>
    <w:rPr>
      <w:rFonts w:ascii="Times New Roman" w:hAnsi="Times New Roman" w:eastAsia="宋体" w:cs="Times New Roman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Office_11.8.2.10552_F1E327BC-269C-435d-A152-05C5408002CA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2023-05-19T13:04:07Z</dcterms:created>
  <dc:creator>oa</dc:creator>
  <cp:lastModifiedBy>oa</cp:lastModifiedBy>
  <dcterms:modified xsi:type="dcterms:W3CDTF">2023-05-19T13:04:27Z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