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经营者集中简易案件公示表</w:t>
      </w:r>
    </w:p>
    <w:tbl>
      <w:tblPr>
        <w:tblStyle w:val="4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02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pStyle w:val="3"/>
              <w:jc w:val="center"/>
              <w:rPr>
                <w:rFonts w:hint="eastAsia" w:ascii="宋体" w:hAnsi="宋体"/>
                <w:sz w:val="24"/>
                <w:szCs w:val="24"/>
                <w:lang w:val="en-GB"/>
              </w:rPr>
            </w:pPr>
            <w:r>
              <w:rPr>
                <w:rFonts w:hint="eastAsia" w:ascii="宋体" w:hAnsi="宋体"/>
                <w:sz w:val="24"/>
                <w:szCs w:val="24"/>
                <w:lang w:val="en-GB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t>广汽商贸有限公司收购富田-日捆储运（广州）有限公司股权案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pStyle w:val="3"/>
              <w:jc w:val="center"/>
              <w:rPr>
                <w:rFonts w:hint="eastAsia" w:ascii="宋体" w:hAnsi="宋体"/>
                <w:sz w:val="24"/>
                <w:szCs w:val="24"/>
                <w:lang w:val="en-GB"/>
              </w:rPr>
            </w:pPr>
            <w:r>
              <w:rPr>
                <w:rFonts w:hint="eastAsia" w:ascii="宋体" w:hAnsi="宋体"/>
                <w:sz w:val="24"/>
                <w:szCs w:val="24"/>
                <w:lang w:val="en-GB"/>
              </w:rPr>
              <w:t>交易概况</w:t>
            </w:r>
          </w:p>
          <w:p>
            <w:pPr>
              <w:pStyle w:val="3"/>
              <w:jc w:val="center"/>
              <w:rPr>
                <w:rFonts w:hint="eastAsia" w:ascii="宋体" w:hAnsi="宋体"/>
                <w:sz w:val="24"/>
                <w:szCs w:val="24"/>
                <w:lang w:val="en-GB"/>
              </w:rPr>
            </w:pPr>
            <w:r>
              <w:rPr>
                <w:rFonts w:hint="eastAsia" w:ascii="宋体" w:hAnsi="宋体"/>
                <w:sz w:val="24"/>
                <w:szCs w:val="24"/>
                <w:lang w:val="en-GB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t>广汽商贸有限公司（“广汽商贸”）与广州市富田实业发展有限公司（“富田实业”）签署协议，广汽商贸收购富田-日捆储运（广州）有限公司（“富田-日捆”）10%股权。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t>交易前，广汽商贸、富田实业、日梱控股株式会社（“日捆控股”）、本田技研工业（中国）投资有限公司（“本田技研”）、本田物流株式会社（“本田物流”）分别持有富田-日捆40%、10%、30%、10%、10%股权，共同控制富田-日捆；交易后，广汽商贸、日梱控股、本田技研、本田物流分别持有富田-日捆50%、30%、10%、10%股权，共同控制富田-日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pStyle w:val="3"/>
              <w:jc w:val="center"/>
              <w:rPr>
                <w:rFonts w:hint="eastAsia" w:ascii="宋体" w:hAnsi="宋体"/>
                <w:sz w:val="24"/>
                <w:szCs w:val="24"/>
                <w:lang w:val="en-GB"/>
              </w:rPr>
            </w:pPr>
            <w:r>
              <w:rPr>
                <w:rFonts w:hint="eastAsia" w:ascii="宋体" w:hAnsi="宋体"/>
                <w:sz w:val="24"/>
                <w:szCs w:val="24"/>
                <w:lang w:val="en-GB"/>
              </w:rPr>
              <w:t>参与集中的</w:t>
            </w:r>
          </w:p>
          <w:p>
            <w:pPr>
              <w:pStyle w:val="3"/>
              <w:jc w:val="center"/>
              <w:rPr>
                <w:rFonts w:hint="eastAsia" w:ascii="宋体" w:hAnsi="宋体"/>
                <w:sz w:val="24"/>
                <w:szCs w:val="24"/>
                <w:lang w:val="en-GB"/>
              </w:rPr>
            </w:pPr>
            <w:r>
              <w:rPr>
                <w:rFonts w:hint="eastAsia" w:ascii="宋体" w:hAnsi="宋体"/>
                <w:sz w:val="24"/>
                <w:szCs w:val="24"/>
                <w:lang w:val="en-GB"/>
              </w:rPr>
              <w:t>经营者简介</w:t>
            </w:r>
          </w:p>
        </w:tc>
        <w:tc>
          <w:tcPr>
            <w:tcW w:w="1796" w:type="dxa"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t>1、广汽商贸有限公司</w:t>
            </w:r>
          </w:p>
        </w:tc>
        <w:tc>
          <w:tcPr>
            <w:tcW w:w="5153" w:type="dxa"/>
          </w:tcPr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t>广汽商贸于2000年3月21日成立于广东省，主要业务包括汽车销售与后市场服务、物流服务、租赁服务等领域。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t>广汽商贸最终控制人为广州汽车集团股份有限公司，主要业务包括研发、整车、零部件、商贸服务、金融出行等汽车完整产业链。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pStyle w:val="3"/>
              <w:jc w:val="center"/>
              <w:rPr>
                <w:rFonts w:hint="eastAsia" w:ascii="宋体" w:hAnsi="宋体"/>
                <w:sz w:val="24"/>
                <w:szCs w:val="24"/>
                <w:lang w:val="en-GB"/>
              </w:rPr>
            </w:pPr>
          </w:p>
        </w:tc>
        <w:tc>
          <w:tcPr>
            <w:tcW w:w="1796" w:type="dxa"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t>2、富田-日捆储运（广州）有限公司</w:t>
            </w:r>
          </w:p>
        </w:tc>
        <w:tc>
          <w:tcPr>
            <w:tcW w:w="5153" w:type="dxa"/>
          </w:tcPr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t>富田-日捆于1997年10月31日成立于广东省，主要业务为乘用车整车物流、汽车零部件物流等。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t>富田-日捆无最终控制人。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pStyle w:val="3"/>
              <w:jc w:val="center"/>
              <w:rPr>
                <w:rFonts w:hint="eastAsia" w:ascii="宋体" w:hAnsi="宋体"/>
                <w:sz w:val="24"/>
                <w:szCs w:val="24"/>
                <w:lang w:val="en-GB"/>
              </w:rPr>
            </w:pPr>
            <w:r>
              <w:rPr>
                <w:rFonts w:hint="eastAsia" w:ascii="宋体" w:hAnsi="宋体"/>
                <w:sz w:val="24"/>
                <w:szCs w:val="24"/>
                <w:lang w:val="en-GB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t>☑1.在同一相关市场，所有参与集中的经营者所占市场份额之和小于15%。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pStyle w:val="3"/>
              <w:jc w:val="center"/>
              <w:rPr>
                <w:rFonts w:hint="eastAsia" w:ascii="宋体" w:hAnsi="宋体"/>
                <w:sz w:val="24"/>
                <w:szCs w:val="24"/>
                <w:lang w:val="en-GB"/>
              </w:rPr>
            </w:pPr>
          </w:p>
        </w:tc>
        <w:tc>
          <w:tcPr>
            <w:tcW w:w="6949" w:type="dxa"/>
            <w:gridSpan w:val="2"/>
          </w:tcPr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sym w:font="Wingdings" w:char="00FE"/>
            </w: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pStyle w:val="3"/>
              <w:jc w:val="center"/>
              <w:rPr>
                <w:rFonts w:hint="eastAsia" w:ascii="宋体" w:hAnsi="宋体"/>
                <w:sz w:val="24"/>
                <w:szCs w:val="24"/>
                <w:lang w:val="en-GB"/>
              </w:rPr>
            </w:pPr>
          </w:p>
        </w:tc>
        <w:tc>
          <w:tcPr>
            <w:tcW w:w="6949" w:type="dxa"/>
            <w:gridSpan w:val="2"/>
          </w:tcPr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pStyle w:val="3"/>
              <w:jc w:val="center"/>
              <w:rPr>
                <w:rFonts w:hint="eastAsia" w:ascii="宋体" w:hAnsi="宋体"/>
                <w:sz w:val="24"/>
                <w:szCs w:val="24"/>
                <w:lang w:val="en-GB"/>
              </w:rPr>
            </w:pPr>
          </w:p>
        </w:tc>
        <w:tc>
          <w:tcPr>
            <w:tcW w:w="6949" w:type="dxa"/>
            <w:gridSpan w:val="2"/>
          </w:tcPr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pStyle w:val="3"/>
              <w:jc w:val="center"/>
              <w:rPr>
                <w:rFonts w:hint="eastAsia" w:ascii="宋体" w:hAnsi="宋体"/>
                <w:sz w:val="24"/>
                <w:szCs w:val="24"/>
                <w:lang w:val="en-GB"/>
              </w:rPr>
            </w:pPr>
          </w:p>
        </w:tc>
        <w:tc>
          <w:tcPr>
            <w:tcW w:w="6949" w:type="dxa"/>
            <w:gridSpan w:val="2"/>
          </w:tcPr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pStyle w:val="3"/>
              <w:jc w:val="center"/>
              <w:rPr>
                <w:rFonts w:hint="eastAsia" w:ascii="宋体" w:hAnsi="宋体"/>
                <w:sz w:val="24"/>
                <w:szCs w:val="24"/>
                <w:lang w:val="en-GB"/>
              </w:rPr>
            </w:pPr>
          </w:p>
        </w:tc>
        <w:tc>
          <w:tcPr>
            <w:tcW w:w="6949" w:type="dxa"/>
            <w:gridSpan w:val="2"/>
          </w:tcPr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sym w:font="Wingdings 2" w:char="F052"/>
            </w: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t>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pStyle w:val="3"/>
              <w:jc w:val="center"/>
              <w:rPr>
                <w:rFonts w:hint="eastAsia" w:ascii="宋体" w:hAnsi="宋体"/>
                <w:sz w:val="24"/>
                <w:szCs w:val="24"/>
                <w:lang w:val="en-GB"/>
              </w:rPr>
            </w:pPr>
            <w:r>
              <w:rPr>
                <w:rFonts w:hint="eastAsia" w:ascii="宋体" w:hAnsi="宋体"/>
                <w:sz w:val="24"/>
                <w:szCs w:val="24"/>
                <w:lang w:val="en-GB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adjustRightInd w:val="0"/>
              <w:snapToGrid w:val="0"/>
              <w:rPr>
                <w:rFonts w:hint="eastAsia" w:ascii="宋体" w:hAnsi="宋体" w:eastAsia="宋体" w:cs="宋体"/>
                <w:b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2"/>
                <w:sz w:val="21"/>
                <w:szCs w:val="24"/>
                <w:lang w:val="en-US" w:eastAsia="zh-CN" w:bidi="ar-SA"/>
              </w:rPr>
              <w:t>横向重叠：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1</w:t>
            </w: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t>、2022年中国境内汽车零部件物流市场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t>广汽商贸：0-5%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t>富田-日捆：0-5%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t>双方合计：0-5%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t>2、2022年中国境内乘用车整车物流市场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t>广汽商贸：0-5%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t>富田-日捆：0-5%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t>双方合计：0-5%</w:t>
            </w:r>
          </w:p>
          <w:p>
            <w:pPr>
              <w:adjustRightInd w:val="0"/>
              <w:snapToGrid w:val="0"/>
              <w:rPr>
                <w:rFonts w:hint="eastAsia" w:ascii="宋体" w:hAnsi="宋体" w:eastAsia="宋体" w:cs="宋体"/>
                <w:b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2"/>
                <w:sz w:val="21"/>
                <w:szCs w:val="24"/>
                <w:lang w:val="en-US" w:eastAsia="zh-CN" w:bidi="ar-SA"/>
              </w:rPr>
              <w:t>纵向关联：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t>1、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t>上游：2022年中国境内汽车零部件物流市场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t>广汽商贸：同上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t>富田-日捆：同上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t>双方合计：同上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t>下游：2022年中国境内乘用车制造市场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t>广汽商贸：0-5%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  <w:t>2、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t>上游：2022年中国境内乘用车制造市场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t>广汽商贸：同上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t>下游：2022年中国境内乘用车整车物流市场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t>广汽商贸：同上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t>富田-日捆：同上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GB" w:eastAsia="zh-CN" w:bidi="ar-SA"/>
              </w:rPr>
              <w:t>双方合计：同上</w:t>
            </w: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E0000" w:usb2="00000000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FiNDRiZDJiOWE1ZDhhMDlmOWI0MmI0NDE0MGQ0ZjEifQ=="/>
  </w:docVars>
  <w:rsids>
    <w:rsidRoot w:val="12565531"/>
    <w:rsid w:val="1256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省市场监督管理局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2023-06-13T07:16:00Z</dcterms:created>
  <dc:creator>鱼仔</dc:creator>
  <cp:lastModifiedBy>鱼仔</cp:lastModifiedBy>
  <dcterms:modified xsi:type="dcterms:W3CDTF">2023-06-13T07:17:20Z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686DA2263E384D3CB4E0A8127419B7E7_11</vt:lpwstr>
  </property>
</Properties>
</file>