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ascii="SimHei" w:hAnsi="SimHei" w:eastAsia="SimHei" w:cs="SimHei"/>
          <w:bCs/>
          <w:sz w:val="36"/>
          <w:szCs w:val="36"/>
        </w:rPr>
      </w:pPr>
      <w:r>
        <w:rPr>
          <w:rFonts w:hint="eastAsia" w:ascii="SimHei" w:hAnsi="SimHei" w:eastAsia="SimHei" w:cs="SimHei"/>
          <w:bCs/>
          <w:sz w:val="36"/>
          <w:szCs w:val="36"/>
        </w:rPr>
        <w:t>经营者集中简易案件公示表</w:t>
      </w:r>
    </w:p>
    <w:tbl>
      <w:tblPr>
        <w:tblStyle w:val="6"/>
        <w:tblW w:w="964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40"/>
        <w:gridCol w:w="1607"/>
        <w:gridCol w:w="609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26" w:hRule="atLeast"/>
          <w:jc w:val="center"/>
        </w:trPr>
        <w:tc>
          <w:tcPr>
            <w:tcW w:w="1940" w:type="dxa"/>
            <w:shd w:val="clear" w:color="auto" w:fill="D9D9D9"/>
            <w:vAlign w:val="center"/>
          </w:tcPr>
          <w:p>
            <w:pPr>
              <w:pStyle w:val="3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sz w:val="24"/>
              </w:rPr>
            </w:pPr>
            <w:r>
              <w:rPr>
                <w:rFonts w:hint="eastAsia" w:ascii="宋体" w:hAnsi="宋体" w:cs="宋体"/>
                <w:bCs/>
                <w:color w:val="000000"/>
                <w:sz w:val="24"/>
                <w:lang w:val="en-GB"/>
              </w:rPr>
              <w:t>案件名称</w:t>
            </w:r>
          </w:p>
        </w:tc>
        <w:tc>
          <w:tcPr>
            <w:tcW w:w="7700" w:type="dxa"/>
            <w:gridSpan w:val="2"/>
            <w:vAlign w:val="center"/>
          </w:tcPr>
          <w:p>
            <w:pPr>
              <w:adjustRightInd w:val="0"/>
              <w:snapToGrid w:val="0"/>
              <w:rPr>
                <w:rFonts w:ascii="宋体" w:hAnsi="宋体" w:cs="宋体"/>
                <w:bCs/>
                <w:color w:val="000000"/>
                <w:sz w:val="24"/>
              </w:rPr>
            </w:pPr>
            <w:r>
              <w:rPr>
                <w:rFonts w:hint="eastAsia" w:ascii="宋体" w:hAnsi="宋体" w:cs="宋体"/>
                <w:bCs/>
                <w:color w:val="000000"/>
                <w:sz w:val="24"/>
              </w:rPr>
              <w:t>PSA汽车股份有限责任公司收购森碧欧公司股权案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91" w:hRule="atLeast"/>
          <w:jc w:val="center"/>
        </w:trPr>
        <w:tc>
          <w:tcPr>
            <w:tcW w:w="1940" w:type="dxa"/>
            <w:shd w:val="clear" w:color="auto" w:fill="D9D9D9"/>
            <w:vAlign w:val="center"/>
          </w:tcPr>
          <w:p>
            <w:pPr>
              <w:pStyle w:val="3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sz w:val="24"/>
              </w:rPr>
            </w:pPr>
            <w:r>
              <w:rPr>
                <w:rFonts w:hint="eastAsia" w:ascii="宋体" w:hAnsi="宋体" w:cs="宋体"/>
                <w:bCs/>
                <w:color w:val="000000"/>
                <w:sz w:val="24"/>
                <w:lang w:val="en-GB"/>
              </w:rPr>
              <w:t>交易概况（限200字内）</w:t>
            </w:r>
          </w:p>
        </w:tc>
        <w:tc>
          <w:tcPr>
            <w:tcW w:w="7700" w:type="dxa"/>
            <w:gridSpan w:val="2"/>
            <w:vAlign w:val="center"/>
          </w:tcPr>
          <w:p>
            <w:pPr>
              <w:adjustRightInd w:val="0"/>
              <w:snapToGrid w:val="0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hint="eastAsia" w:ascii="宋体" w:hAnsi="宋体" w:cs="宋体"/>
                <w:kern w:val="0"/>
                <w:sz w:val="24"/>
              </w:rPr>
              <w:t>PSA汽车股份有限责任公司（“</w:t>
            </w:r>
            <w:r>
              <w:rPr>
                <w:rFonts w:hint="eastAsia" w:ascii="宋体" w:hAnsi="宋体" w:cs="宋体"/>
                <w:b/>
                <w:bCs/>
                <w:kern w:val="0"/>
                <w:sz w:val="24"/>
              </w:rPr>
              <w:t>P</w:t>
            </w:r>
            <w:r>
              <w:rPr>
                <w:rFonts w:ascii="宋体" w:hAnsi="宋体" w:cs="宋体"/>
                <w:b/>
                <w:bCs/>
                <w:kern w:val="0"/>
                <w:sz w:val="24"/>
              </w:rPr>
              <w:t>SA</w:t>
            </w:r>
            <w:r>
              <w:rPr>
                <w:rFonts w:hint="eastAsia" w:ascii="宋体" w:hAnsi="宋体" w:cs="宋体"/>
                <w:kern w:val="0"/>
                <w:sz w:val="24"/>
              </w:rPr>
              <w:t>”）、斯皮卡公司（“</w:t>
            </w:r>
            <w:r>
              <w:rPr>
                <w:rFonts w:hint="eastAsia" w:ascii="宋体" w:hAnsi="宋体" w:cs="宋体"/>
                <w:b/>
                <w:bCs/>
                <w:kern w:val="0"/>
                <w:sz w:val="24"/>
              </w:rPr>
              <w:t>斯皮卡</w:t>
            </w:r>
            <w:r>
              <w:rPr>
                <w:rFonts w:hint="eastAsia" w:ascii="宋体" w:hAnsi="宋体" w:cs="宋体"/>
                <w:kern w:val="0"/>
                <w:sz w:val="24"/>
              </w:rPr>
              <w:t>”）和佛吉亚公司（“</w:t>
            </w:r>
            <w:r>
              <w:rPr>
                <w:rFonts w:hint="eastAsia" w:ascii="宋体" w:hAnsi="宋体" w:cs="宋体"/>
                <w:b/>
                <w:bCs/>
                <w:kern w:val="0"/>
                <w:sz w:val="24"/>
              </w:rPr>
              <w:t>佛吉亚</w:t>
            </w:r>
            <w:r>
              <w:rPr>
                <w:rFonts w:hint="eastAsia" w:ascii="宋体" w:hAnsi="宋体" w:cs="宋体"/>
                <w:kern w:val="0"/>
                <w:sz w:val="24"/>
              </w:rPr>
              <w:t>”）签署了相关协议。PSA拟以投资方式收购斯皮卡和佛吉亚所拥有的部分森碧欧公司(“</w:t>
            </w:r>
            <w:r>
              <w:rPr>
                <w:rFonts w:hint="eastAsia" w:ascii="宋体" w:hAnsi="宋体" w:cs="宋体"/>
                <w:b/>
                <w:bCs/>
                <w:kern w:val="0"/>
                <w:sz w:val="24"/>
              </w:rPr>
              <w:t>森碧欧</w:t>
            </w:r>
            <w:r>
              <w:rPr>
                <w:rFonts w:hint="eastAsia" w:ascii="宋体" w:hAnsi="宋体" w:cs="宋体"/>
                <w:kern w:val="0"/>
                <w:sz w:val="24"/>
              </w:rPr>
              <w:t>”)的股权。本交易前，森碧欧由斯皮卡和佛吉亚共同控制。本交易完成后，PSA将获得森碧欧的部分股权并与斯皮卡和佛吉亚共同控制森碧欧。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42" w:hRule="atLeast"/>
          <w:jc w:val="center"/>
        </w:trPr>
        <w:tc>
          <w:tcPr>
            <w:tcW w:w="1940" w:type="dxa"/>
            <w:vMerge w:val="restart"/>
            <w:shd w:val="clear" w:color="auto" w:fill="D9D9D9"/>
            <w:vAlign w:val="center"/>
          </w:tcPr>
          <w:p>
            <w:pPr>
              <w:pStyle w:val="3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sz w:val="24"/>
              </w:rPr>
            </w:pPr>
            <w:r>
              <w:rPr>
                <w:rFonts w:hint="eastAsia" w:ascii="宋体" w:hAnsi="宋体" w:cs="宋体"/>
                <w:bCs/>
                <w:color w:val="000000"/>
                <w:sz w:val="24"/>
                <w:lang w:val="en-GB"/>
              </w:rPr>
              <w:t>参与集中的经营者简介（每个限</w:t>
            </w:r>
            <w:r>
              <w:rPr>
                <w:rFonts w:hint="eastAsia" w:ascii="宋体" w:hAnsi="宋体" w:cs="宋体"/>
                <w:bCs/>
                <w:color w:val="000000"/>
                <w:sz w:val="24"/>
              </w:rPr>
              <w:t>100字以内</w:t>
            </w:r>
            <w:r>
              <w:rPr>
                <w:rFonts w:hint="eastAsia" w:ascii="宋体" w:hAnsi="宋体" w:cs="宋体"/>
                <w:bCs/>
                <w:color w:val="000000"/>
                <w:sz w:val="24"/>
                <w:lang w:val="en-GB"/>
              </w:rPr>
              <w:t>）</w:t>
            </w:r>
          </w:p>
        </w:tc>
        <w:tc>
          <w:tcPr>
            <w:tcW w:w="1607" w:type="dxa"/>
            <w:vAlign w:val="center"/>
          </w:tcPr>
          <w:p>
            <w:pPr>
              <w:pStyle w:val="3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sz w:val="24"/>
                <w:lang w:val="en-GB"/>
              </w:rPr>
            </w:pPr>
            <w:r>
              <w:rPr>
                <w:rFonts w:hint="eastAsia" w:ascii="宋体" w:hAnsi="宋体" w:cs="宋体"/>
                <w:bCs/>
                <w:color w:val="000000"/>
                <w:sz w:val="24"/>
              </w:rPr>
              <w:t>1.</w:t>
            </w:r>
            <w:r>
              <w:rPr>
                <w:rFonts w:hint="eastAsia" w:ascii="宋体" w:hAnsi="宋体" w:cs="宋体"/>
                <w:sz w:val="24"/>
              </w:rPr>
              <w:t xml:space="preserve"> PSA汽车股份有限责任公司</w:t>
            </w:r>
          </w:p>
        </w:tc>
        <w:tc>
          <w:tcPr>
            <w:tcW w:w="6093" w:type="dxa"/>
            <w:vAlign w:val="center"/>
          </w:tcPr>
          <w:p>
            <w:pPr>
              <w:pStyle w:val="3"/>
              <w:adjustRightInd w:val="0"/>
              <w:snapToGrid w:val="0"/>
              <w:spacing w:after="0"/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PSA于1</w:t>
            </w:r>
            <w:r>
              <w:rPr>
                <w:rFonts w:ascii="宋体" w:hAnsi="宋体" w:cs="宋体"/>
                <w:sz w:val="24"/>
              </w:rPr>
              <w:t>954</w:t>
            </w:r>
            <w:r>
              <w:rPr>
                <w:rFonts w:hint="eastAsia" w:ascii="宋体" w:hAnsi="宋体" w:cs="宋体"/>
                <w:sz w:val="24"/>
              </w:rPr>
              <w:t>年1月1日成立于法国普瓦西欧洲大道2-10。其是斯特兰蒂斯公司的子公司。</w:t>
            </w:r>
          </w:p>
          <w:p>
            <w:pPr>
              <w:pStyle w:val="3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sz w:val="24"/>
              </w:rPr>
            </w:pPr>
            <w:r>
              <w:rPr>
                <w:rFonts w:ascii="宋体" w:hAnsi="宋体" w:cs="宋体"/>
                <w:sz w:val="24"/>
              </w:rPr>
              <w:t>PSA</w:t>
            </w:r>
            <w:r>
              <w:rPr>
                <w:rFonts w:hint="eastAsia" w:ascii="宋体" w:hAnsi="宋体" w:cs="宋体"/>
                <w:sz w:val="24"/>
              </w:rPr>
              <w:t>的最终控制人为斯特兰蒂斯公司，其主要业务为乘用车和轻型商用车经销。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4" w:hRule="atLeast"/>
          <w:jc w:val="center"/>
        </w:trPr>
        <w:tc>
          <w:tcPr>
            <w:tcW w:w="1940" w:type="dxa"/>
            <w:vMerge w:val="continue"/>
            <w:shd w:val="clear" w:color="auto" w:fill="D9D9D9"/>
            <w:vAlign w:val="center"/>
          </w:tcPr>
          <w:p>
            <w:pPr>
              <w:pStyle w:val="3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sz w:val="24"/>
              </w:rPr>
            </w:pPr>
          </w:p>
        </w:tc>
        <w:tc>
          <w:tcPr>
            <w:tcW w:w="1607" w:type="dxa"/>
            <w:vAlign w:val="center"/>
          </w:tcPr>
          <w:p>
            <w:pPr>
              <w:pStyle w:val="3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sz w:val="24"/>
                <w:lang w:val="en-GB"/>
              </w:rPr>
            </w:pPr>
            <w:r>
              <w:rPr>
                <w:rFonts w:hint="eastAsia" w:ascii="宋体" w:hAnsi="宋体" w:cs="宋体"/>
                <w:bCs/>
                <w:color w:val="000000"/>
                <w:sz w:val="24"/>
              </w:rPr>
              <w:t>2.</w:t>
            </w:r>
            <w:r>
              <w:rPr>
                <w:rFonts w:hint="eastAsia" w:ascii="宋体" w:hAnsi="宋体" w:cs="宋体"/>
                <w:sz w:val="24"/>
              </w:rPr>
              <w:t xml:space="preserve"> 斯皮卡公司</w:t>
            </w:r>
          </w:p>
          <w:p>
            <w:pPr>
              <w:pStyle w:val="3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sz w:val="24"/>
                <w:lang w:val="en-GB"/>
              </w:rPr>
            </w:pPr>
          </w:p>
        </w:tc>
        <w:tc>
          <w:tcPr>
            <w:tcW w:w="6093" w:type="dxa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/>
              <w:textAlignment w:val="auto"/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斯皮卡于1</w:t>
            </w:r>
            <w:r>
              <w:rPr>
                <w:rFonts w:ascii="宋体" w:hAnsi="宋体" w:cs="宋体"/>
                <w:sz w:val="24"/>
              </w:rPr>
              <w:t>991</w:t>
            </w:r>
            <w:r>
              <w:rPr>
                <w:rFonts w:hint="eastAsia" w:ascii="宋体" w:hAnsi="宋体" w:cs="宋体"/>
                <w:sz w:val="24"/>
              </w:rPr>
              <w:t>年1月1</w:t>
            </w:r>
            <w:r>
              <w:rPr>
                <w:rFonts w:ascii="宋体" w:hAnsi="宋体" w:cs="宋体"/>
                <w:sz w:val="24"/>
              </w:rPr>
              <w:t>0</w:t>
            </w:r>
            <w:r>
              <w:rPr>
                <w:rFonts w:hint="eastAsia" w:ascii="宋体" w:hAnsi="宋体" w:cs="宋体"/>
                <w:sz w:val="24"/>
              </w:rPr>
              <w:t>日成立法国克莱蒙费朗加尔默赤脚迦密23号，其为米其林公司的子公司。斯皮卡仅持有米其林公司的其他公司或投资，为纯控股公司。</w:t>
            </w:r>
          </w:p>
          <w:p>
            <w:pPr>
              <w:pStyle w:val="2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after="0"/>
              <w:ind w:firstLine="0" w:firstLineChars="0"/>
              <w:textAlignment w:val="auto"/>
              <w:rPr>
                <w:lang w:eastAsia="zh-CN"/>
              </w:rPr>
            </w:pPr>
            <w:r>
              <w:rPr>
                <w:rFonts w:hint="eastAsia" w:ascii="宋体" w:hAnsi="宋体" w:cs="宋体"/>
                <w:kern w:val="2"/>
                <w:sz w:val="24"/>
                <w:szCs w:val="24"/>
                <w:lang w:eastAsia="zh-CN"/>
              </w:rPr>
              <w:t>斯皮卡的最终控制人为米其林公司，其主要业务为轮胎制造和分销。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4" w:hRule="atLeast"/>
          <w:jc w:val="center"/>
        </w:trPr>
        <w:tc>
          <w:tcPr>
            <w:tcW w:w="1940" w:type="dxa"/>
            <w:shd w:val="clear" w:color="auto" w:fill="D9D9D9"/>
            <w:vAlign w:val="center"/>
          </w:tcPr>
          <w:p>
            <w:pPr>
              <w:pStyle w:val="3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sz w:val="24"/>
              </w:rPr>
            </w:pPr>
          </w:p>
        </w:tc>
        <w:tc>
          <w:tcPr>
            <w:tcW w:w="1607" w:type="dxa"/>
            <w:vAlign w:val="center"/>
          </w:tcPr>
          <w:p>
            <w:pPr>
              <w:pStyle w:val="3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sz w:val="24"/>
                <w:lang w:val="en-GB"/>
              </w:rPr>
            </w:pPr>
            <w:r>
              <w:rPr>
                <w:rFonts w:ascii="宋体" w:hAnsi="宋体" w:cs="宋体"/>
                <w:bCs/>
                <w:color w:val="000000"/>
                <w:sz w:val="24"/>
              </w:rPr>
              <w:t>3</w:t>
            </w:r>
            <w:r>
              <w:rPr>
                <w:rFonts w:hint="eastAsia" w:ascii="宋体" w:hAnsi="宋体" w:cs="宋体"/>
                <w:bCs/>
                <w:color w:val="000000"/>
                <w:sz w:val="24"/>
              </w:rPr>
              <w:t>.</w:t>
            </w:r>
            <w:r>
              <w:rPr>
                <w:rFonts w:hint="eastAsia" w:ascii="宋体" w:hAnsi="宋体" w:cs="宋体"/>
                <w:sz w:val="24"/>
              </w:rPr>
              <w:t xml:space="preserve"> 佛吉亚公司</w:t>
            </w:r>
          </w:p>
          <w:p>
            <w:pPr>
              <w:pStyle w:val="3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sz w:val="24"/>
              </w:rPr>
            </w:pPr>
          </w:p>
        </w:tc>
        <w:tc>
          <w:tcPr>
            <w:tcW w:w="6093" w:type="dxa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/>
              <w:textAlignment w:val="auto"/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佛吉亚于1</w:t>
            </w:r>
            <w:r>
              <w:rPr>
                <w:rFonts w:ascii="宋体" w:hAnsi="宋体" w:cs="宋体"/>
                <w:sz w:val="24"/>
              </w:rPr>
              <w:t>997</w:t>
            </w:r>
            <w:r>
              <w:rPr>
                <w:rFonts w:hint="eastAsia" w:ascii="宋体" w:hAnsi="宋体" w:cs="宋体"/>
                <w:sz w:val="24"/>
              </w:rPr>
              <w:t>年1</w:t>
            </w:r>
            <w:r>
              <w:rPr>
                <w:rFonts w:ascii="宋体" w:hAnsi="宋体" w:cs="宋体"/>
                <w:sz w:val="24"/>
              </w:rPr>
              <w:t>2</w:t>
            </w:r>
            <w:r>
              <w:rPr>
                <w:rFonts w:hint="eastAsia" w:ascii="宋体" w:hAnsi="宋体" w:cs="宋体"/>
                <w:sz w:val="24"/>
              </w:rPr>
              <w:t>月8日成立于法国南泰尔香皮耶尔大街23-27号，其为佛瑞亚集团控股公司佛吉亚欧洲公司的子公司。</w:t>
            </w:r>
          </w:p>
          <w:p>
            <w:pPr>
              <w:pStyle w:val="2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after="0"/>
              <w:ind w:firstLine="0" w:firstLineChars="0"/>
              <w:textAlignment w:val="auto"/>
              <w:rPr>
                <w:lang w:eastAsia="zh-CN"/>
              </w:rPr>
            </w:pPr>
            <w:r>
              <w:rPr>
                <w:rFonts w:hint="eastAsia" w:ascii="宋体" w:hAnsi="宋体" w:cs="宋体"/>
                <w:kern w:val="2"/>
                <w:sz w:val="24"/>
                <w:szCs w:val="24"/>
                <w:lang w:eastAsia="zh-CN"/>
              </w:rPr>
              <w:t>佛吉亚的最终控制人是佛吉亚欧洲公司，其主要业务为生产和销售排气系统。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4" w:hRule="atLeast"/>
          <w:jc w:val="center"/>
        </w:trPr>
        <w:tc>
          <w:tcPr>
            <w:tcW w:w="1940" w:type="dxa"/>
            <w:shd w:val="clear" w:color="auto" w:fill="D9D9D9"/>
            <w:vAlign w:val="center"/>
          </w:tcPr>
          <w:p>
            <w:pPr>
              <w:pStyle w:val="3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sz w:val="24"/>
              </w:rPr>
            </w:pPr>
          </w:p>
        </w:tc>
        <w:tc>
          <w:tcPr>
            <w:tcW w:w="1607" w:type="dxa"/>
            <w:vAlign w:val="center"/>
          </w:tcPr>
          <w:p>
            <w:pPr>
              <w:pStyle w:val="3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sz w:val="24"/>
                <w:lang w:val="en-GB"/>
              </w:rPr>
            </w:pPr>
            <w:r>
              <w:rPr>
                <w:rFonts w:ascii="宋体" w:hAnsi="宋体" w:cs="宋体"/>
                <w:bCs/>
                <w:color w:val="000000"/>
                <w:sz w:val="24"/>
              </w:rPr>
              <w:t>4</w:t>
            </w:r>
            <w:r>
              <w:rPr>
                <w:rFonts w:hint="eastAsia" w:ascii="宋体" w:hAnsi="宋体" w:cs="宋体"/>
                <w:bCs/>
                <w:color w:val="000000"/>
                <w:sz w:val="24"/>
              </w:rPr>
              <w:t>.</w:t>
            </w:r>
            <w:r>
              <w:rPr>
                <w:rFonts w:hint="eastAsia" w:ascii="宋体" w:hAnsi="宋体" w:cs="宋体"/>
                <w:sz w:val="24"/>
              </w:rPr>
              <w:t xml:space="preserve"> 森碧欧公司</w:t>
            </w:r>
          </w:p>
          <w:p>
            <w:pPr>
              <w:pStyle w:val="3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sz w:val="24"/>
              </w:rPr>
            </w:pPr>
          </w:p>
        </w:tc>
        <w:tc>
          <w:tcPr>
            <w:tcW w:w="6093" w:type="dxa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/>
              <w:textAlignment w:val="auto"/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森碧欧于2</w:t>
            </w:r>
            <w:r>
              <w:rPr>
                <w:rFonts w:ascii="宋体" w:hAnsi="宋体" w:cs="宋体"/>
                <w:sz w:val="24"/>
              </w:rPr>
              <w:t>010</w:t>
            </w:r>
            <w:r>
              <w:rPr>
                <w:rFonts w:hint="eastAsia" w:ascii="宋体" w:hAnsi="宋体" w:cs="宋体"/>
                <w:sz w:val="24"/>
              </w:rPr>
              <w:t>年2月2</w:t>
            </w:r>
            <w:r>
              <w:rPr>
                <w:rFonts w:ascii="宋体" w:hAnsi="宋体" w:cs="宋体"/>
                <w:sz w:val="24"/>
              </w:rPr>
              <w:t>6</w:t>
            </w:r>
            <w:r>
              <w:rPr>
                <w:rFonts w:hint="eastAsia" w:ascii="宋体" w:hAnsi="宋体" w:cs="宋体"/>
                <w:sz w:val="24"/>
              </w:rPr>
              <w:t>日成立于法国维尼西厄西蒙莎街5号，其主要业务为电动汽车氢燃料电池系统。</w:t>
            </w:r>
          </w:p>
          <w:p>
            <w:pPr>
              <w:pStyle w:val="2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after="0"/>
              <w:ind w:firstLine="0" w:firstLineChars="0"/>
              <w:textAlignment w:val="auto"/>
              <w:rPr>
                <w:lang w:eastAsia="zh-CN"/>
              </w:rPr>
            </w:pPr>
            <w:r>
              <w:rPr>
                <w:rFonts w:hint="eastAsia" w:ascii="宋体" w:hAnsi="宋体" w:cs="宋体"/>
                <w:kern w:val="2"/>
                <w:sz w:val="24"/>
                <w:szCs w:val="24"/>
                <w:lang w:eastAsia="zh-CN"/>
              </w:rPr>
              <w:t>森碧欧的最终控制人是米其林</w:t>
            </w:r>
            <w:bookmarkStart w:id="0" w:name="_GoBack"/>
            <w:bookmarkEnd w:id="0"/>
            <w:r>
              <w:rPr>
                <w:rFonts w:hint="eastAsia" w:ascii="宋体" w:hAnsi="宋体" w:cs="宋体"/>
                <w:kern w:val="2"/>
                <w:sz w:val="24"/>
                <w:szCs w:val="24"/>
                <w:lang w:eastAsia="zh-CN"/>
              </w:rPr>
              <w:t>公司和佛吉亚欧洲公司，前者的主要业务为轮胎制造和分销，后者则为生产和销售排气系统。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9" w:hRule="atLeast"/>
          <w:jc w:val="center"/>
        </w:trPr>
        <w:tc>
          <w:tcPr>
            <w:tcW w:w="1940" w:type="dxa"/>
            <w:vMerge w:val="restart"/>
            <w:shd w:val="clear" w:color="auto" w:fill="D9D9D9"/>
            <w:vAlign w:val="center"/>
          </w:tcPr>
          <w:p>
            <w:pPr>
              <w:pStyle w:val="3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sz w:val="24"/>
              </w:rPr>
            </w:pPr>
            <w:r>
              <w:rPr>
                <w:rFonts w:hint="eastAsia" w:ascii="宋体" w:hAnsi="宋体" w:cs="宋体"/>
                <w:bCs/>
                <w:color w:val="000000"/>
                <w:sz w:val="24"/>
                <w:lang w:val="en-GB"/>
              </w:rPr>
              <w:t>简易案件理由（可以单选，也可以多选）</w:t>
            </w:r>
          </w:p>
        </w:tc>
        <w:tc>
          <w:tcPr>
            <w:tcW w:w="7700" w:type="dxa"/>
            <w:gridSpan w:val="2"/>
            <w:vAlign w:val="center"/>
          </w:tcPr>
          <w:p>
            <w:pPr>
              <w:pStyle w:val="3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sz w:val="24"/>
              </w:rPr>
            </w:pPr>
            <w:r>
              <w:rPr>
                <w:rFonts w:hint="eastAsia" w:ascii="宋体" w:hAnsi="宋体" w:cs="宋体"/>
                <w:bCs/>
                <w:color w:val="000000"/>
                <w:sz w:val="24"/>
                <w:lang w:val="en-GB"/>
              </w:rPr>
              <w:sym w:font="Wingdings" w:char="00A8"/>
            </w:r>
            <w:r>
              <w:rPr>
                <w:rFonts w:hint="eastAsia" w:ascii="宋体" w:hAnsi="宋体" w:cs="宋体"/>
                <w:bCs/>
                <w:color w:val="000000"/>
                <w:sz w:val="24"/>
                <w:lang w:val="en-GB"/>
              </w:rPr>
              <w:t xml:space="preserve"> 1、在同一相关市场，所有参与集中的经营者所占市场份额之和小于</w:t>
            </w:r>
            <w:r>
              <w:rPr>
                <w:rFonts w:hint="eastAsia" w:ascii="宋体" w:hAnsi="宋体" w:cs="宋体"/>
                <w:bCs/>
                <w:color w:val="000000"/>
                <w:sz w:val="24"/>
              </w:rPr>
              <w:t>15%</w:t>
            </w:r>
            <w:r>
              <w:rPr>
                <w:rFonts w:hint="eastAsia" w:ascii="宋体" w:hAnsi="宋体" w:cs="宋体"/>
                <w:bCs/>
                <w:color w:val="000000"/>
                <w:sz w:val="24"/>
                <w:lang w:val="en-GB"/>
              </w:rPr>
              <w:t>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  <w:jc w:val="center"/>
        </w:trPr>
        <w:tc>
          <w:tcPr>
            <w:tcW w:w="1940" w:type="dxa"/>
            <w:vMerge w:val="continue"/>
            <w:shd w:val="clear" w:color="auto" w:fill="D9D9D9"/>
            <w:vAlign w:val="center"/>
          </w:tcPr>
          <w:p>
            <w:pPr>
              <w:pStyle w:val="3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sz w:val="24"/>
              </w:rPr>
            </w:pPr>
          </w:p>
        </w:tc>
        <w:tc>
          <w:tcPr>
            <w:tcW w:w="7700" w:type="dxa"/>
            <w:gridSpan w:val="2"/>
            <w:vAlign w:val="center"/>
          </w:tcPr>
          <w:p>
            <w:pPr>
              <w:pStyle w:val="3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sz w:val="24"/>
              </w:rPr>
            </w:pPr>
            <w:r>
              <w:rPr>
                <w:rFonts w:hint="eastAsia" w:ascii="宋体" w:hAnsi="宋体" w:cs="宋体"/>
                <w:bCs/>
                <w:color w:val="000000"/>
                <w:sz w:val="24"/>
                <w:lang w:val="en-GB"/>
              </w:rPr>
              <w:sym w:font="Wingdings" w:char="00FE"/>
            </w:r>
            <w:r>
              <w:rPr>
                <w:rFonts w:hint="eastAsia" w:ascii="宋体" w:hAnsi="宋体" w:cs="宋体"/>
                <w:bCs/>
                <w:color w:val="000000"/>
                <w:sz w:val="24"/>
                <w:lang w:val="en-GB"/>
              </w:rPr>
              <w:t xml:space="preserve"> 2、存在上下游关系的参与集中的经营者，在上下游市场所占的市场份额均小于</w:t>
            </w:r>
            <w:r>
              <w:rPr>
                <w:rFonts w:hint="eastAsia" w:ascii="宋体" w:hAnsi="宋体" w:cs="宋体"/>
                <w:bCs/>
                <w:color w:val="000000"/>
                <w:sz w:val="24"/>
              </w:rPr>
              <w:t>25%</w:t>
            </w:r>
            <w:r>
              <w:rPr>
                <w:rFonts w:hint="eastAsia" w:ascii="宋体" w:hAnsi="宋体" w:cs="宋体"/>
                <w:bCs/>
                <w:color w:val="000000"/>
                <w:sz w:val="24"/>
                <w:lang w:val="en-GB"/>
              </w:rPr>
              <w:t>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1940" w:type="dxa"/>
            <w:vMerge w:val="continue"/>
            <w:shd w:val="clear" w:color="auto" w:fill="D9D9D9"/>
            <w:vAlign w:val="center"/>
          </w:tcPr>
          <w:p>
            <w:pPr>
              <w:pStyle w:val="3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sz w:val="24"/>
              </w:rPr>
            </w:pPr>
          </w:p>
        </w:tc>
        <w:tc>
          <w:tcPr>
            <w:tcW w:w="7700" w:type="dxa"/>
            <w:gridSpan w:val="2"/>
            <w:vAlign w:val="center"/>
          </w:tcPr>
          <w:p>
            <w:pPr>
              <w:pStyle w:val="3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sz w:val="24"/>
              </w:rPr>
            </w:pPr>
            <w:r>
              <w:rPr>
                <w:rFonts w:hint="eastAsia" w:ascii="宋体" w:hAnsi="宋体" w:cs="宋体"/>
                <w:bCs/>
                <w:color w:val="000000"/>
                <w:sz w:val="24"/>
                <w:lang w:val="en-GB"/>
              </w:rPr>
              <w:sym w:font="Wingdings" w:char="00A8"/>
            </w:r>
            <w:r>
              <w:rPr>
                <w:rFonts w:hint="eastAsia" w:ascii="宋体" w:hAnsi="宋体" w:cs="宋体"/>
                <w:bCs/>
                <w:color w:val="000000"/>
                <w:sz w:val="24"/>
                <w:lang w:val="en-GB"/>
              </w:rPr>
              <w:t xml:space="preserve">  3、不在同一相关市场、也不存在上下游关系的参与集中的经营者，在与交易有关的每个市场所占的份额均小于25%。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0" w:hRule="atLeast"/>
          <w:jc w:val="center"/>
        </w:trPr>
        <w:tc>
          <w:tcPr>
            <w:tcW w:w="1940" w:type="dxa"/>
            <w:vMerge w:val="continue"/>
            <w:shd w:val="clear" w:color="auto" w:fill="D9D9D9"/>
            <w:vAlign w:val="center"/>
          </w:tcPr>
          <w:p>
            <w:pPr>
              <w:pStyle w:val="3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sz w:val="24"/>
              </w:rPr>
            </w:pPr>
          </w:p>
        </w:tc>
        <w:tc>
          <w:tcPr>
            <w:tcW w:w="7700" w:type="dxa"/>
            <w:gridSpan w:val="2"/>
            <w:vAlign w:val="center"/>
          </w:tcPr>
          <w:p>
            <w:pPr>
              <w:pStyle w:val="3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sz w:val="24"/>
              </w:rPr>
            </w:pPr>
            <w:r>
              <w:rPr>
                <w:rFonts w:hint="eastAsia" w:ascii="宋体" w:hAnsi="宋体" w:cs="宋体"/>
                <w:bCs/>
                <w:color w:val="000000"/>
                <w:sz w:val="24"/>
                <w:lang w:val="en-GB"/>
              </w:rPr>
              <w:sym w:font="Wingdings" w:char="00A8"/>
            </w:r>
            <w:r>
              <w:rPr>
                <w:rFonts w:hint="eastAsia" w:ascii="宋体" w:hAnsi="宋体" w:cs="宋体"/>
                <w:bCs/>
                <w:color w:val="000000"/>
                <w:sz w:val="24"/>
                <w:lang w:val="en-GB"/>
              </w:rPr>
              <w:t xml:space="preserve"> 4、参与集中的经营者在中国境外设立合营企业，合营企业不在中国境内从事经济活动。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4" w:hRule="atLeast"/>
          <w:jc w:val="center"/>
        </w:trPr>
        <w:tc>
          <w:tcPr>
            <w:tcW w:w="1940" w:type="dxa"/>
            <w:vMerge w:val="continue"/>
            <w:shd w:val="clear" w:color="auto" w:fill="D9D9D9"/>
            <w:vAlign w:val="center"/>
          </w:tcPr>
          <w:p>
            <w:pPr>
              <w:pStyle w:val="3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sz w:val="24"/>
              </w:rPr>
            </w:pPr>
          </w:p>
        </w:tc>
        <w:tc>
          <w:tcPr>
            <w:tcW w:w="7700" w:type="dxa"/>
            <w:gridSpan w:val="2"/>
            <w:vAlign w:val="center"/>
          </w:tcPr>
          <w:p>
            <w:pPr>
              <w:pStyle w:val="3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sz w:val="24"/>
              </w:rPr>
            </w:pPr>
            <w:r>
              <w:rPr>
                <w:rFonts w:hint="eastAsia" w:ascii="宋体" w:hAnsi="宋体" w:cs="宋体"/>
                <w:bCs/>
                <w:color w:val="000000"/>
                <w:sz w:val="24"/>
                <w:lang w:val="en-GB"/>
              </w:rPr>
              <w:sym w:font="Wingdings" w:char="00A8"/>
            </w:r>
            <w:r>
              <w:rPr>
                <w:rFonts w:hint="eastAsia" w:ascii="宋体" w:hAnsi="宋体" w:cs="宋体"/>
                <w:bCs/>
                <w:color w:val="000000"/>
                <w:sz w:val="24"/>
                <w:lang w:val="en-GB"/>
              </w:rPr>
              <w:t xml:space="preserve"> 5、参与集中的经营者收购境外企业股权或资产的，该境外企业不在中国境内从事经济活动。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  <w:jc w:val="center"/>
        </w:trPr>
        <w:tc>
          <w:tcPr>
            <w:tcW w:w="1940" w:type="dxa"/>
            <w:vMerge w:val="continue"/>
            <w:shd w:val="clear" w:color="auto" w:fill="D9D9D9"/>
            <w:vAlign w:val="center"/>
          </w:tcPr>
          <w:p>
            <w:pPr>
              <w:pStyle w:val="3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sz w:val="24"/>
              </w:rPr>
            </w:pPr>
          </w:p>
        </w:tc>
        <w:tc>
          <w:tcPr>
            <w:tcW w:w="7700" w:type="dxa"/>
            <w:gridSpan w:val="2"/>
            <w:vAlign w:val="center"/>
          </w:tcPr>
          <w:p>
            <w:pPr>
              <w:pStyle w:val="3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sz w:val="24"/>
              </w:rPr>
            </w:pPr>
            <w:r>
              <w:rPr>
                <w:rFonts w:hint="eastAsia" w:ascii="宋体" w:hAnsi="宋体" w:cs="宋体"/>
                <w:bCs/>
                <w:color w:val="000000"/>
                <w:sz w:val="24"/>
                <w:lang w:val="en-GB"/>
              </w:rPr>
              <w:sym w:font="Wingdings" w:char="00A8"/>
            </w:r>
            <w:r>
              <w:rPr>
                <w:rFonts w:hint="eastAsia" w:ascii="宋体" w:hAnsi="宋体" w:cs="宋体"/>
                <w:bCs/>
                <w:color w:val="000000"/>
                <w:sz w:val="24"/>
                <w:lang w:val="en-GB"/>
              </w:rPr>
              <w:t xml:space="preserve"> 6、由两个以上的经营者共同控制的合营企业，通过集中被其中一个或一个以上经营者控制。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50" w:hRule="atLeast"/>
          <w:jc w:val="center"/>
        </w:trPr>
        <w:tc>
          <w:tcPr>
            <w:tcW w:w="1940" w:type="dxa"/>
            <w:shd w:val="clear" w:color="auto" w:fill="D9D9D9"/>
            <w:vAlign w:val="center"/>
          </w:tcPr>
          <w:p>
            <w:pPr>
              <w:pStyle w:val="3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sz w:val="24"/>
              </w:rPr>
            </w:pPr>
            <w:r>
              <w:rPr>
                <w:rFonts w:hint="eastAsia" w:ascii="宋体" w:hAnsi="宋体" w:cs="宋体"/>
                <w:bCs/>
                <w:color w:val="000000"/>
                <w:sz w:val="24"/>
              </w:rPr>
              <w:t>备注</w:t>
            </w:r>
          </w:p>
        </w:tc>
        <w:tc>
          <w:tcPr>
            <w:tcW w:w="7700" w:type="dxa"/>
            <w:gridSpan w:val="2"/>
            <w:vAlign w:val="center"/>
          </w:tcPr>
          <w:p>
            <w:pPr>
              <w:pStyle w:val="3"/>
              <w:adjustRightInd w:val="0"/>
              <w:snapToGrid w:val="0"/>
              <w:spacing w:after="0"/>
              <w:rPr>
                <w:rFonts w:ascii="宋体" w:hAnsi="宋体" w:cs="宋体"/>
                <w:b/>
                <w:color w:val="000000"/>
                <w:sz w:val="24"/>
                <w:lang w:val="en-GB"/>
              </w:rPr>
            </w:pPr>
            <w:r>
              <w:rPr>
                <w:rFonts w:hint="eastAsia" w:ascii="宋体" w:hAnsi="宋体" w:cs="宋体"/>
                <w:b/>
                <w:color w:val="000000"/>
                <w:sz w:val="24"/>
                <w:lang w:val="en-GB"/>
              </w:rPr>
              <w:t>纵向关联：</w:t>
            </w:r>
          </w:p>
          <w:p>
            <w:pPr>
              <w:pStyle w:val="3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sz w:val="24"/>
              </w:rPr>
            </w:pPr>
            <w:r>
              <w:rPr>
                <w:rFonts w:hint="eastAsia" w:ascii="宋体" w:hAnsi="宋体" w:cs="宋体"/>
                <w:bCs/>
                <w:color w:val="000000"/>
                <w:sz w:val="24"/>
                <w:lang w:val="en-GB"/>
              </w:rPr>
              <w:t>上游：</w:t>
            </w:r>
            <w:r>
              <w:rPr>
                <w:rFonts w:hint="eastAsia" w:ascii="宋体" w:hAnsi="宋体" w:cs="宋体"/>
                <w:bCs/>
                <w:color w:val="000000"/>
                <w:sz w:val="24"/>
              </w:rPr>
              <w:t>2022年全球氢燃料电池系统市场：</w:t>
            </w:r>
          </w:p>
          <w:p>
            <w:pPr>
              <w:pStyle w:val="3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sz w:val="24"/>
              </w:rPr>
            </w:pPr>
            <w:r>
              <w:rPr>
                <w:rFonts w:hint="eastAsia" w:ascii="宋体" w:hAnsi="宋体" w:cs="宋体"/>
                <w:bCs/>
                <w:color w:val="000000"/>
                <w:sz w:val="24"/>
              </w:rPr>
              <w:t>森碧欧：[</w:t>
            </w:r>
            <w:r>
              <w:rPr>
                <w:rFonts w:ascii="宋体" w:hAnsi="宋体" w:cs="宋体"/>
                <w:bCs/>
                <w:color w:val="000000"/>
                <w:sz w:val="24"/>
              </w:rPr>
              <w:t>0-5]%</w:t>
            </w:r>
          </w:p>
          <w:p>
            <w:pPr>
              <w:pStyle w:val="3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sz w:val="24"/>
              </w:rPr>
            </w:pPr>
            <w:r>
              <w:rPr>
                <w:rFonts w:hint="eastAsia" w:ascii="宋体" w:hAnsi="宋体" w:cs="宋体"/>
                <w:bCs/>
                <w:color w:val="000000"/>
                <w:sz w:val="24"/>
                <w:lang w:val="en-GB"/>
              </w:rPr>
              <w:t>上游：</w:t>
            </w:r>
            <w:r>
              <w:rPr>
                <w:rFonts w:hint="eastAsia" w:ascii="宋体" w:hAnsi="宋体" w:cs="宋体"/>
                <w:bCs/>
                <w:color w:val="000000"/>
                <w:sz w:val="24"/>
              </w:rPr>
              <w:t>2022年中国氢燃料电池系统市场：</w:t>
            </w:r>
          </w:p>
          <w:p>
            <w:pPr>
              <w:pStyle w:val="3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sz w:val="24"/>
              </w:rPr>
            </w:pPr>
            <w:r>
              <w:rPr>
                <w:rFonts w:hint="eastAsia" w:ascii="宋体" w:hAnsi="宋体" w:cs="宋体"/>
                <w:bCs/>
                <w:color w:val="000000"/>
                <w:sz w:val="24"/>
              </w:rPr>
              <w:t>森碧欧：[</w:t>
            </w:r>
            <w:r>
              <w:rPr>
                <w:rFonts w:ascii="宋体" w:hAnsi="宋体" w:cs="宋体"/>
                <w:bCs/>
                <w:color w:val="000000"/>
                <w:sz w:val="24"/>
              </w:rPr>
              <w:t>0-5]%</w:t>
            </w:r>
          </w:p>
          <w:p>
            <w:pPr>
              <w:pStyle w:val="3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sz w:val="24"/>
              </w:rPr>
            </w:pPr>
            <w:r>
              <w:rPr>
                <w:rFonts w:hint="eastAsia" w:ascii="宋体" w:hAnsi="宋体" w:cs="宋体"/>
                <w:bCs/>
                <w:color w:val="000000"/>
                <w:sz w:val="24"/>
                <w:lang w:val="en-GB"/>
              </w:rPr>
              <w:t>上游：</w:t>
            </w:r>
            <w:r>
              <w:rPr>
                <w:rFonts w:hint="eastAsia" w:ascii="宋体" w:hAnsi="宋体" w:cs="宋体"/>
                <w:bCs/>
                <w:color w:val="000000"/>
                <w:sz w:val="24"/>
              </w:rPr>
              <w:t>2022年全球燃料电池动力单元市场：</w:t>
            </w:r>
          </w:p>
          <w:p>
            <w:pPr>
              <w:pStyle w:val="3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sz w:val="24"/>
              </w:rPr>
            </w:pPr>
            <w:r>
              <w:rPr>
                <w:rFonts w:hint="eastAsia" w:ascii="宋体" w:hAnsi="宋体" w:cs="宋体"/>
                <w:bCs/>
                <w:color w:val="000000"/>
                <w:sz w:val="24"/>
              </w:rPr>
              <w:t>森碧欧：[</w:t>
            </w:r>
            <w:r>
              <w:rPr>
                <w:rFonts w:ascii="宋体" w:hAnsi="宋体" w:cs="宋体"/>
                <w:bCs/>
                <w:color w:val="000000"/>
                <w:sz w:val="24"/>
              </w:rPr>
              <w:t>0-5]%</w:t>
            </w:r>
          </w:p>
          <w:p>
            <w:pPr>
              <w:pStyle w:val="3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sz w:val="24"/>
              </w:rPr>
            </w:pPr>
            <w:r>
              <w:rPr>
                <w:rFonts w:hint="eastAsia" w:ascii="宋体" w:hAnsi="宋体" w:cs="宋体"/>
                <w:bCs/>
                <w:color w:val="000000"/>
                <w:sz w:val="24"/>
                <w:lang w:val="en-GB"/>
              </w:rPr>
              <w:t>上游：</w:t>
            </w:r>
            <w:r>
              <w:rPr>
                <w:rFonts w:hint="eastAsia" w:ascii="宋体" w:hAnsi="宋体" w:cs="宋体"/>
                <w:bCs/>
                <w:color w:val="000000"/>
                <w:sz w:val="24"/>
              </w:rPr>
              <w:t>2022年中国燃料电池动力单元市场：</w:t>
            </w:r>
          </w:p>
          <w:p>
            <w:pPr>
              <w:pStyle w:val="3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sz w:val="24"/>
              </w:rPr>
            </w:pPr>
            <w:r>
              <w:rPr>
                <w:rFonts w:hint="eastAsia" w:ascii="宋体" w:hAnsi="宋体" w:cs="宋体"/>
                <w:bCs/>
                <w:color w:val="000000"/>
                <w:sz w:val="24"/>
              </w:rPr>
              <w:t>森碧欧：[</w:t>
            </w:r>
            <w:r>
              <w:rPr>
                <w:rFonts w:ascii="宋体" w:hAnsi="宋体" w:cs="宋体"/>
                <w:bCs/>
                <w:color w:val="000000"/>
                <w:sz w:val="24"/>
              </w:rPr>
              <w:t>0-5]%</w:t>
            </w:r>
          </w:p>
          <w:p>
            <w:pPr>
              <w:pStyle w:val="3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sz w:val="24"/>
              </w:rPr>
            </w:pPr>
            <w:r>
              <w:rPr>
                <w:rFonts w:hint="eastAsia" w:ascii="宋体" w:hAnsi="宋体" w:cs="宋体"/>
                <w:bCs/>
                <w:color w:val="000000"/>
                <w:sz w:val="24"/>
                <w:lang w:val="en-GB"/>
              </w:rPr>
              <w:t>下游：</w:t>
            </w:r>
            <w:r>
              <w:rPr>
                <w:rFonts w:hint="eastAsia" w:ascii="宋体" w:hAnsi="宋体" w:cs="宋体"/>
                <w:bCs/>
                <w:color w:val="000000"/>
                <w:sz w:val="24"/>
              </w:rPr>
              <w:t>2022年中国燃料电池汽车市场：</w:t>
            </w:r>
          </w:p>
          <w:p>
            <w:pPr>
              <w:pStyle w:val="3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sz w:val="24"/>
              </w:rPr>
            </w:pPr>
            <w:r>
              <w:rPr>
                <w:rFonts w:ascii="宋体" w:hAnsi="宋体" w:cs="宋体"/>
                <w:bCs/>
                <w:color w:val="000000"/>
                <w:sz w:val="24"/>
              </w:rPr>
              <w:t>PSA</w:t>
            </w:r>
            <w:r>
              <w:rPr>
                <w:rFonts w:hint="eastAsia" w:ascii="宋体" w:hAnsi="宋体" w:cs="宋体"/>
                <w:bCs/>
                <w:color w:val="000000"/>
                <w:sz w:val="24"/>
              </w:rPr>
              <w:t>：[</w:t>
            </w:r>
            <w:r>
              <w:rPr>
                <w:rFonts w:ascii="宋体" w:hAnsi="宋体" w:cs="宋体"/>
                <w:bCs/>
                <w:color w:val="000000"/>
                <w:sz w:val="24"/>
              </w:rPr>
              <w:t>0-5]%</w:t>
            </w:r>
          </w:p>
        </w:tc>
      </w:tr>
    </w:tbl>
    <w:p>
      <w:pPr>
        <w:pStyle w:val="3"/>
        <w:adjustRightInd w:val="0"/>
        <w:snapToGrid w:val="0"/>
        <w:spacing w:after="0" w:line="594" w:lineRule="exact"/>
      </w:pPr>
    </w:p>
    <w:p/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方正书宋_GBK"/>
    <w:panose1 w:val="00000000000000000000"/>
    <w:charset w:val="86"/>
    <w:family w:val="auto"/>
    <w:pitch w:val="default"/>
    <w:sig w:usb0="00000000" w:usb1="00000000" w:usb2="00000000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altName w:val="Times New Roman"/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altName w:val="DejaVu Sans"/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微软雅黑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等线">
    <w:altName w:val="微软雅黑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等线">
    <w:altName w:val="微软雅黑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G Times">
    <w:altName w:val="Nimbus Roman No9 L"/>
    <w:panose1 w:val="00000000000000000000"/>
    <w:charset w:val="00"/>
    <w:family w:val="roman"/>
    <w:pitch w:val="default"/>
    <w:sig w:usb0="00000000" w:usb1="00000000" w:usb2="00000000" w:usb3="00000000" w:csb0="00040001" w:csb1="00000000"/>
  </w:font>
  <w:font w:name="SimHei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等线">
    <w:altName w:val="微软雅黑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0F3C52" w:usb2="00000016" w:usb3="00000000" w:csb0="0004001F" w:csb1="00000000"/>
  </w:font>
  <w:font w:name="方正书宋_GBK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Nimbus Roman No9 L"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62D76"/>
    <w:rsid w:val="001416F8"/>
    <w:rsid w:val="00577FEB"/>
    <w:rsid w:val="006A7B21"/>
    <w:rsid w:val="0089577B"/>
    <w:rsid w:val="00F62D76"/>
    <w:rsid w:val="FB73AF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qFormat="1" w:unhideWhenUsed="0" w:uiPriority="0" w:semiHidden="0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spacing w:after="0" w:line="240" w:lineRule="auto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 First Indent"/>
    <w:basedOn w:val="3"/>
    <w:link w:val="9"/>
    <w:qFormat/>
    <w:uiPriority w:val="0"/>
    <w:pPr>
      <w:widowControl/>
      <w:spacing w:after="240" w:line="288" w:lineRule="auto"/>
      <w:ind w:firstLine="420" w:firstLineChars="100"/>
    </w:pPr>
    <w:rPr>
      <w:rFonts w:ascii="CG Times" w:hAnsi="CG Times"/>
      <w:kern w:val="0"/>
      <w:sz w:val="22"/>
      <w:szCs w:val="20"/>
      <w:lang w:eastAsia="en-US"/>
    </w:rPr>
  </w:style>
  <w:style w:type="paragraph" w:styleId="3">
    <w:name w:val="Body Text"/>
    <w:basedOn w:val="1"/>
    <w:link w:val="8"/>
    <w:unhideWhenUsed/>
    <w:qFormat/>
    <w:uiPriority w:val="0"/>
    <w:pPr>
      <w:spacing w:after="120"/>
    </w:pPr>
  </w:style>
  <w:style w:type="paragraph" w:styleId="4">
    <w:name w:val="footer"/>
    <w:basedOn w:val="1"/>
    <w:link w:val="11"/>
    <w:unhideWhenUsed/>
    <w:qFormat/>
    <w:uiPriority w:val="99"/>
    <w:pPr>
      <w:tabs>
        <w:tab w:val="center" w:pos="4320"/>
        <w:tab w:val="right" w:pos="8640"/>
      </w:tabs>
    </w:pPr>
  </w:style>
  <w:style w:type="paragraph" w:styleId="5">
    <w:name w:val="header"/>
    <w:basedOn w:val="1"/>
    <w:link w:val="10"/>
    <w:unhideWhenUsed/>
    <w:qFormat/>
    <w:uiPriority w:val="99"/>
    <w:pPr>
      <w:tabs>
        <w:tab w:val="center" w:pos="4320"/>
        <w:tab w:val="right" w:pos="8640"/>
      </w:tabs>
    </w:pPr>
  </w:style>
  <w:style w:type="character" w:customStyle="1" w:styleId="8">
    <w:name w:val="Body Text Char"/>
    <w:basedOn w:val="7"/>
    <w:link w:val="3"/>
    <w:semiHidden/>
    <w:qFormat/>
    <w:uiPriority w:val="99"/>
    <w:rPr>
      <w:rFonts w:ascii="Times New Roman" w:hAnsi="Times New Roman" w:eastAsia="宋体" w:cs="Times New Roman"/>
      <w:kern w:val="2"/>
      <w:sz w:val="21"/>
      <w:szCs w:val="24"/>
    </w:rPr>
  </w:style>
  <w:style w:type="character" w:customStyle="1" w:styleId="9">
    <w:name w:val="Body Text First Indent Char"/>
    <w:basedOn w:val="8"/>
    <w:link w:val="2"/>
    <w:qFormat/>
    <w:uiPriority w:val="0"/>
    <w:rPr>
      <w:rFonts w:ascii="CG Times" w:hAnsi="CG Times" w:eastAsia="宋体" w:cs="Times New Roman"/>
      <w:kern w:val="2"/>
      <w:sz w:val="21"/>
      <w:szCs w:val="20"/>
      <w:lang w:eastAsia="en-US"/>
    </w:rPr>
  </w:style>
  <w:style w:type="character" w:customStyle="1" w:styleId="10">
    <w:name w:val="Header Char"/>
    <w:basedOn w:val="7"/>
    <w:link w:val="5"/>
    <w:qFormat/>
    <w:uiPriority w:val="99"/>
    <w:rPr>
      <w:rFonts w:ascii="Times New Roman" w:hAnsi="Times New Roman" w:eastAsia="宋体" w:cs="Times New Roman"/>
      <w:kern w:val="2"/>
      <w:sz w:val="21"/>
      <w:szCs w:val="24"/>
    </w:rPr>
  </w:style>
  <w:style w:type="character" w:customStyle="1" w:styleId="11">
    <w:name w:val="Footer Char"/>
    <w:basedOn w:val="7"/>
    <w:link w:val="4"/>
    <w:qFormat/>
    <w:uiPriority w:val="99"/>
    <w:rPr>
      <w:rFonts w:ascii="Times New Roman" w:hAnsi="Times New Roman" w:eastAsia="宋体" w:cs="Times New Roman"/>
      <w:kern w:val="2"/>
      <w:sz w:val="21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170</Words>
  <Characters>974</Characters>
  <Lines>8</Lines>
  <Paragraphs>2</Paragraphs>
  <TotalTime>1</TotalTime>
  <ScaleCrop>false</ScaleCrop>
  <LinksUpToDate>false</LinksUpToDate>
  <CharactersWithSpaces>1142</CharactersWithSpaces>
  <Application>WPS Office_11.8.2.10552_F1E327BC-269C-435d-A152-05C5408002CA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2023-05-29T17:16:00Z</dcterms:created>
  <dc:creator>Leah Li</dc:creator>
  <cp:lastModifiedBy>oa</cp:lastModifiedBy>
  <dcterms:modified xsi:type="dcterms:W3CDTF">2023-06-07T16:21:01Z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2052-11.8.2.10552</vt:lpwstr>
  </property>
</Properties>
</file>