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Theme="minorEastAsia"/>
          <w:bCs/>
          <w:sz w:val="36"/>
          <w:szCs w:val="36"/>
        </w:rPr>
      </w:pPr>
      <w:r>
        <w:rPr>
          <w:rFonts w:eastAsiaTheme="minorEastAsia"/>
          <w:bCs/>
          <w:sz w:val="36"/>
          <w:szCs w:val="36"/>
        </w:rPr>
        <w:t>经营者集中简易案件公示表</w:t>
      </w:r>
    </w:p>
    <w:tbl>
      <w:tblPr>
        <w:tblStyle w:val="76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/>
              </w:rPr>
            </w:pPr>
            <w:r>
              <w:rPr>
                <w:rFonts w:cs="Times New Roman" w:eastAsiaTheme="minor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eastAsiaTheme="minorEastAsia"/>
                <w:bCs/>
                <w:color w:val="000000"/>
                <w:lang w:val="en-US"/>
              </w:rPr>
            </w:pPr>
            <w:r>
              <w:rPr>
                <w:rFonts w:hint="eastAsia" w:eastAsiaTheme="minorEastAsia"/>
              </w:rPr>
              <w:t>中信外包服务集团有限公司与上饶市保安总公司新设合营企业案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eastAsiaTheme="minorEastAsia"/>
                <w:bCs/>
                <w:color w:val="000000"/>
                <w:lang w:val="en-US"/>
              </w:rPr>
            </w:pPr>
            <w:r>
              <w:rPr>
                <w:rFonts w:hint="eastAsia" w:eastAsiaTheme="minorEastAsia"/>
                <w:lang w:val="en-US" w:eastAsia="zh-CN"/>
              </w:rPr>
              <w:t>2023年5月30日，</w:t>
            </w:r>
            <w:r>
              <w:rPr>
                <w:rFonts w:eastAsiaTheme="minorEastAsia"/>
              </w:rPr>
              <w:t>中信外包服务集团有限公司</w:t>
            </w:r>
            <w:r>
              <w:rPr>
                <w:rFonts w:eastAsiaTheme="minorEastAsia"/>
                <w:bCs/>
                <w:color w:val="000000"/>
                <w:lang w:val="en-US"/>
              </w:rPr>
              <w:t>（“</w:t>
            </w:r>
            <w:r>
              <w:rPr>
                <w:rFonts w:eastAsiaTheme="minorEastAsia"/>
                <w:b/>
                <w:color w:val="000000"/>
                <w:lang w:val="en-US"/>
              </w:rPr>
              <w:t>中信外包</w:t>
            </w:r>
            <w:r>
              <w:rPr>
                <w:rFonts w:eastAsiaTheme="minorEastAsia"/>
                <w:bCs/>
                <w:color w:val="000000"/>
                <w:lang w:val="en-US"/>
              </w:rPr>
              <w:t>”）与</w:t>
            </w:r>
            <w:r>
              <w:rPr>
                <w:rFonts w:hint="eastAsia" w:eastAsiaTheme="minorEastAsia"/>
              </w:rPr>
              <w:t>上饶市保安总公司</w:t>
            </w:r>
            <w:r>
              <w:rPr>
                <w:rFonts w:eastAsiaTheme="minorEastAsia"/>
                <w:bCs/>
                <w:color w:val="000000"/>
                <w:lang w:val="en-US"/>
              </w:rPr>
              <w:t>（“</w:t>
            </w:r>
            <w:r>
              <w:rPr>
                <w:rFonts w:hint="eastAsia" w:eastAsiaTheme="minorEastAsia"/>
                <w:b/>
                <w:bCs/>
              </w:rPr>
              <w:t>上饶保安</w:t>
            </w:r>
            <w:r>
              <w:rPr>
                <w:rFonts w:eastAsiaTheme="minorEastAsia"/>
                <w:bCs/>
                <w:color w:val="000000"/>
                <w:lang w:val="en-US"/>
              </w:rPr>
              <w:t>”）签署协议，约定共同</w:t>
            </w:r>
            <w:r>
              <w:rPr>
                <w:rFonts w:hint="eastAsia" w:eastAsiaTheme="minorEastAsia"/>
                <w:bCs/>
                <w:color w:val="000000"/>
                <w:lang w:val="en-US" w:eastAsia="zh-CN"/>
              </w:rPr>
              <w:t>在上饶市</w:t>
            </w:r>
            <w:r>
              <w:rPr>
                <w:rFonts w:eastAsiaTheme="minorEastAsia"/>
                <w:bCs/>
                <w:color w:val="000000"/>
                <w:lang w:val="en-US"/>
              </w:rPr>
              <w:t>设立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两家</w:t>
            </w:r>
            <w:r>
              <w:rPr>
                <w:rFonts w:eastAsiaTheme="minorEastAsia"/>
                <w:bCs/>
                <w:color w:val="000000"/>
                <w:lang w:val="en-US"/>
              </w:rPr>
              <w:t>合营企业。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两家</w:t>
            </w:r>
            <w:r>
              <w:rPr>
                <w:rFonts w:eastAsiaTheme="minorEastAsia"/>
                <w:bCs/>
                <w:color w:val="000000"/>
                <w:lang w:val="en-US"/>
              </w:rPr>
              <w:t>合营企业主要从事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区域</w:t>
            </w:r>
            <w:r>
              <w:rPr>
                <w:rFonts w:eastAsiaTheme="minorEastAsia"/>
                <w:bCs/>
                <w:color w:val="000000"/>
                <w:lang w:val="en-US"/>
              </w:rPr>
              <w:t>现金处理外包服务。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inorEastAsia"/>
                <w:bCs/>
                <w:color w:val="000000"/>
                <w:lang w:val="en-US"/>
              </w:rPr>
              <w:t>交易后，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中信外包和上饶保安将分别持有其中一家合营企业（“</w:t>
            </w:r>
            <w:r>
              <w:rPr>
                <w:rFonts w:hint="eastAsia" w:eastAsiaTheme="minorEastAsia"/>
                <w:b/>
                <w:color w:val="000000"/>
                <w:lang w:val="en-US"/>
              </w:rPr>
              <w:t>合营企业一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”）5</w:t>
            </w:r>
            <w:r>
              <w:rPr>
                <w:rFonts w:eastAsiaTheme="minorEastAsia"/>
                <w:bCs/>
                <w:color w:val="000000"/>
                <w:lang w:val="en-US"/>
              </w:rPr>
              <w:t>1%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和4</w:t>
            </w:r>
            <w:r>
              <w:rPr>
                <w:rFonts w:eastAsiaTheme="minorEastAsia"/>
                <w:bCs/>
                <w:color w:val="000000"/>
                <w:lang w:val="en-US"/>
              </w:rPr>
              <w:t>9%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的股份，并分别持有另一家合营企业（“</w:t>
            </w:r>
            <w:r>
              <w:rPr>
                <w:rFonts w:hint="eastAsia" w:eastAsiaTheme="minorEastAsia"/>
                <w:b/>
                <w:color w:val="000000"/>
                <w:lang w:val="en-US"/>
              </w:rPr>
              <w:t>合营企业二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”）4</w:t>
            </w:r>
            <w:r>
              <w:rPr>
                <w:rFonts w:eastAsiaTheme="minorEastAsia"/>
                <w:bCs/>
                <w:color w:val="000000"/>
                <w:lang w:val="en-US"/>
              </w:rPr>
              <w:t>9%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和5</w:t>
            </w:r>
            <w:r>
              <w:rPr>
                <w:rFonts w:eastAsiaTheme="minorEastAsia"/>
                <w:bCs/>
                <w:color w:val="000000"/>
                <w:lang w:val="en-US"/>
              </w:rPr>
              <w:t>1%</w:t>
            </w:r>
            <w:r>
              <w:rPr>
                <w:rFonts w:hint="eastAsia" w:eastAsiaTheme="minorEastAsia"/>
                <w:bCs/>
                <w:color w:val="000000"/>
                <w:lang w:val="en-US"/>
              </w:rPr>
              <w:t>的股份，共同控制两家合营企业。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cs="Times New Roman" w:eastAsiaTheme="minor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1.</w:t>
            </w:r>
            <w:r>
              <w:rPr>
                <w:rFonts w:cs="Times New Roman" w:eastAsiaTheme="minorEastAsia"/>
                <w:bCs/>
                <w:color w:val="000000"/>
                <w:lang w:eastAsia="zh-CN"/>
              </w:rPr>
              <w:t>中信外包</w:t>
            </w:r>
          </w:p>
        </w:tc>
        <w:tc>
          <w:tcPr>
            <w:tcW w:w="6093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lang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t>中信外包</w:t>
            </w:r>
            <w:r>
              <w:rPr>
                <w:rFonts w:cs="Times New Roman" w:eastAsiaTheme="minorEastAsia"/>
                <w:lang w:eastAsia="zh-CN"/>
              </w:rPr>
              <w:t>于2010年10月27日成立于北京市，主要从事安保押运、现钞管理、ATM服务、票据物流、档案寄存托管、信息管理及灾备等金融外包服务业务。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lang w:eastAsia="zh-CN"/>
              </w:rPr>
            </w:pP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eastAsia="zh-CN"/>
              </w:rPr>
            </w:pPr>
            <w:r>
              <w:rPr>
                <w:rFonts w:cs="Times New Roman" w:eastAsiaTheme="minorEastAsia"/>
                <w:lang w:eastAsia="zh-CN"/>
              </w:rPr>
              <w:t>中信外包的最终控制人为中国中信股份有限公司，其业务涵盖综合金融服务、先进智造、先进材料、新消费和新型城镇化。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 w:cs="Times New Roman" w:eastAsiaTheme="minorEastAsia"/>
                <w:bCs/>
                <w:color w:val="000000"/>
                <w:lang w:eastAsia="zh-CN"/>
              </w:rPr>
              <w:t>上饶保安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eastAsiaTheme="minorEastAsia"/>
              </w:rPr>
            </w:pPr>
            <w:r>
              <w:rPr>
                <w:rFonts w:hint="eastAsia" w:eastAsiaTheme="minorEastAsia"/>
                <w:bCs/>
                <w:color w:val="000000"/>
              </w:rPr>
              <w:t>上饶保安</w:t>
            </w:r>
            <w:r>
              <w:rPr>
                <w:rFonts w:eastAsiaTheme="minorEastAsia"/>
              </w:rPr>
              <w:t>于</w:t>
            </w:r>
            <w:r>
              <w:rPr>
                <w:rFonts w:eastAsiaTheme="minorEastAsia"/>
                <w:lang w:val="en-US"/>
              </w:rPr>
              <w:t>1992</w:t>
            </w:r>
            <w:r>
              <w:rPr>
                <w:rFonts w:eastAsiaTheme="minorEastAsia"/>
              </w:rPr>
              <w:t>年</w:t>
            </w:r>
            <w:r>
              <w:rPr>
                <w:rFonts w:eastAsiaTheme="minorEastAsia"/>
                <w:lang w:val="en-US"/>
              </w:rPr>
              <w:t>5</w:t>
            </w:r>
            <w:r>
              <w:rPr>
                <w:rFonts w:eastAsiaTheme="minorEastAsia"/>
              </w:rPr>
              <w:t>月</w:t>
            </w:r>
            <w:r>
              <w:rPr>
                <w:rFonts w:eastAsiaTheme="minorEastAsia"/>
                <w:lang w:val="en-US"/>
              </w:rPr>
              <w:t>3</w:t>
            </w:r>
            <w:r>
              <w:rPr>
                <w:rFonts w:eastAsiaTheme="minorEastAsia"/>
              </w:rPr>
              <w:t>日成立于</w:t>
            </w:r>
            <w:r>
              <w:rPr>
                <w:rFonts w:eastAsiaTheme="minorEastAsia"/>
                <w:lang w:val="en-US"/>
              </w:rPr>
              <w:t>江西省</w:t>
            </w:r>
            <w:r>
              <w:rPr>
                <w:rFonts w:hint="eastAsia" w:eastAsiaTheme="minorEastAsia"/>
                <w:lang w:val="en-US" w:eastAsia="zh-CN"/>
              </w:rPr>
              <w:t>上饶市</w:t>
            </w:r>
            <w:r>
              <w:rPr>
                <w:rFonts w:eastAsiaTheme="minorEastAsia"/>
                <w:lang w:val="en-US"/>
              </w:rPr>
              <w:t>，</w:t>
            </w:r>
            <w:r>
              <w:rPr>
                <w:rFonts w:eastAsiaTheme="minorEastAsia"/>
              </w:rPr>
              <w:t>从事</w:t>
            </w:r>
            <w:r>
              <w:rPr>
                <w:rFonts w:hint="eastAsia" w:eastAsiaTheme="minorEastAsia"/>
              </w:rPr>
              <w:t>保安服务、武装押运等多项服务</w:t>
            </w:r>
            <w:r>
              <w:rPr>
                <w:rFonts w:eastAsiaTheme="minorEastAsia"/>
              </w:rPr>
              <w:t>。</w:t>
            </w:r>
          </w:p>
          <w:p>
            <w:pPr>
              <w:adjustRightInd w:val="0"/>
              <w:snapToGrid w:val="0"/>
              <w:spacing w:after="0"/>
              <w:rPr>
                <w:rFonts w:eastAsiaTheme="minorEastAsia"/>
              </w:rPr>
            </w:pPr>
          </w:p>
          <w:p>
            <w:pPr>
              <w:adjustRightInd w:val="0"/>
              <w:snapToGrid w:val="0"/>
              <w:spacing w:after="0"/>
              <w:rPr>
                <w:rFonts w:eastAsiaTheme="minorEastAsia"/>
                <w:bCs/>
                <w:color w:val="000000"/>
              </w:rPr>
            </w:pPr>
            <w:r>
              <w:rPr>
                <w:rFonts w:hint="eastAsia" w:eastAsiaTheme="minorEastAsia"/>
                <w:lang w:val="en-US"/>
              </w:rPr>
              <w:t>上饶保安</w:t>
            </w:r>
            <w:r>
              <w:rPr>
                <w:rFonts w:eastAsiaTheme="minorEastAsia"/>
                <w:lang w:val="en-US"/>
              </w:rPr>
              <w:t>的最终控制人为</w:t>
            </w:r>
            <w:r>
              <w:rPr>
                <w:rFonts w:hint="eastAsia" w:eastAsiaTheme="minorEastAsia"/>
              </w:rPr>
              <w:t>上饶国控投资集团有限公司</w:t>
            </w:r>
            <w:r>
              <w:rPr>
                <w:rFonts w:hint="eastAsia" w:eastAsiaTheme="minorEastAsia"/>
                <w:lang w:val="en-US"/>
              </w:rPr>
              <w:t>，主要业务</w:t>
            </w:r>
            <w:r>
              <w:rPr>
                <w:rFonts w:eastAsiaTheme="minorEastAsia"/>
                <w:lang w:val="en-US"/>
              </w:rPr>
              <w:t>包括</w:t>
            </w:r>
            <w:r>
              <w:rPr>
                <w:rFonts w:hint="eastAsia" w:eastAsiaTheme="minorEastAsia"/>
                <w:lang w:val="en-US"/>
              </w:rPr>
              <w:t>保安服务、资产运营、智慧交通、职业培训、工程咨询、工程检测、能源服务、市政公共服务等</w:t>
            </w:r>
            <w:r>
              <w:rPr>
                <w:rFonts w:eastAsiaTheme="minorEastAsia"/>
                <w:lang w:val="en-U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inor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inor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 w:eastAsiaTheme="minor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inor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inor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 w:eastAsiaTheme="minor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/>
                <w:color w:val="000000"/>
                <w:lang w:eastAsia="zh-CN"/>
              </w:rPr>
            </w:pPr>
            <w:r>
              <w:rPr>
                <w:rFonts w:hint="eastAsia" w:cs="Times New Roman" w:eastAsiaTheme="minorEastAsia"/>
                <w:b/>
                <w:color w:val="000000"/>
                <w:lang w:eastAsia="zh-CN"/>
              </w:rPr>
              <w:t>混合集中</w:t>
            </w:r>
            <w:r>
              <w:rPr>
                <w:rFonts w:cs="Times New Roman" w:eastAsiaTheme="minorEastAsia"/>
                <w:b/>
                <w:color w:val="000000"/>
                <w:lang w:eastAsia="zh-CN"/>
              </w:rPr>
              <w:t>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1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、2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022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年上饶市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现金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处理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外包服务市场：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合营企业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一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预估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：[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5-10]%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；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合营企业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二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预估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：[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5-10]%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；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2、2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022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年江西省现金押运服务市场：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 w:eastAsiaTheme="minorEastAsia"/>
                <w:bCs/>
                <w:color w:val="000000"/>
                <w:lang w:val="en-US" w:eastAsia="zh-CN"/>
              </w:rPr>
            </w:pPr>
            <w:r>
              <w:rPr>
                <w:rFonts w:hint="eastAsia" w:cs="Times New Roman" w:eastAsiaTheme="minorEastAsia"/>
                <w:bCs/>
                <w:color w:val="000000"/>
                <w:lang w:eastAsia="zh-CN"/>
              </w:rPr>
              <w:t>上饶保安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：[</w:t>
            </w:r>
            <w:r>
              <w:rPr>
                <w:rFonts w:cs="Times New Roman" w:eastAsiaTheme="minorEastAsia"/>
                <w:bCs/>
                <w:color w:val="000000"/>
                <w:lang w:val="en-US" w:eastAsia="zh-CN"/>
              </w:rPr>
              <w:t>10-15]%</w:t>
            </w:r>
            <w:r>
              <w:rPr>
                <w:rFonts w:hint="eastAsia" w:cs="Times New Roman" w:eastAsiaTheme="minorEastAsia"/>
                <w:bCs/>
                <w:color w:val="000000"/>
                <w:lang w:val="en-US" w:eastAsia="zh-CN"/>
              </w:rPr>
              <w:t>。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cs="Times New Roman" w:eastAsiaTheme="minorEastAsia"/>
          <w:b/>
          <w:color w:val="000000"/>
          <w:sz w:val="22"/>
          <w:szCs w:val="22"/>
          <w:lang w:eastAsia="zh-CN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2020603050405020304"/>
    <w:charset w:val="00"/>
    <w:family w:val="roman"/>
    <w:pitch w:val="default"/>
    <w:sig w:usb0="00000000" w:usb1="00000000" w:usb2="00000000" w:usb3="00000000" w:csb0="0000004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199"/>
              <w:rFonts w:cs="Times New Roman"/>
            </w:rPr>
          </w:pPr>
          <w:r>
            <w:rPr>
              <w:rStyle w:val="199"/>
              <w:rFonts w:cs="Times New Roman"/>
            </w:rPr>
            <w:t xml:space="preserve">- </w:t>
          </w:r>
          <w:r>
            <w:rPr>
              <w:rStyle w:val="199"/>
              <w:rFonts w:cs="Times New Roman"/>
            </w:rPr>
            <w:fldChar w:fldCharType="begin"/>
          </w:r>
          <w:r>
            <w:rPr>
              <w:rStyle w:val="199"/>
              <w:rFonts w:cs="Times New Roman"/>
            </w:rPr>
            <w:instrText xml:space="preserve"> PAGE   \* MERGEFORMAT </w:instrText>
          </w:r>
          <w:r>
            <w:rPr>
              <w:rStyle w:val="199"/>
              <w:rFonts w:cs="Times New Roman"/>
            </w:rPr>
            <w:fldChar w:fldCharType="separate"/>
          </w:r>
          <w:r>
            <w:rPr>
              <w:rStyle w:val="199"/>
              <w:rFonts w:cs="Times New Roman"/>
              <w:lang w:val="en-US"/>
            </w:rPr>
            <w:t>1</w:t>
          </w:r>
          <w:r>
            <w:rPr>
              <w:rStyle w:val="199"/>
              <w:rFonts w:cs="Times New Roman"/>
            </w:rPr>
            <w:fldChar w:fldCharType="end"/>
          </w:r>
          <w:r>
            <w:rPr>
              <w:rStyle w:val="199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50B7"/>
    <w:rsid w:val="00021AB2"/>
    <w:rsid w:val="000326C8"/>
    <w:rsid w:val="00041B52"/>
    <w:rsid w:val="00041C40"/>
    <w:rsid w:val="0004292A"/>
    <w:rsid w:val="000467AA"/>
    <w:rsid w:val="00046D72"/>
    <w:rsid w:val="00062616"/>
    <w:rsid w:val="00073E6B"/>
    <w:rsid w:val="000757B7"/>
    <w:rsid w:val="0007723F"/>
    <w:rsid w:val="00077D60"/>
    <w:rsid w:val="00083590"/>
    <w:rsid w:val="000844FE"/>
    <w:rsid w:val="00092F4E"/>
    <w:rsid w:val="000A25A7"/>
    <w:rsid w:val="000B58E5"/>
    <w:rsid w:val="000B653C"/>
    <w:rsid w:val="000C6953"/>
    <w:rsid w:val="000D57F3"/>
    <w:rsid w:val="000E29A9"/>
    <w:rsid w:val="000E3A81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0928"/>
    <w:rsid w:val="001F346E"/>
    <w:rsid w:val="001F35AA"/>
    <w:rsid w:val="001F367B"/>
    <w:rsid w:val="001F3D54"/>
    <w:rsid w:val="00224A7C"/>
    <w:rsid w:val="002271E5"/>
    <w:rsid w:val="002278D1"/>
    <w:rsid w:val="00231665"/>
    <w:rsid w:val="00233737"/>
    <w:rsid w:val="00234E19"/>
    <w:rsid w:val="002403B5"/>
    <w:rsid w:val="00245281"/>
    <w:rsid w:val="00250E61"/>
    <w:rsid w:val="00261F94"/>
    <w:rsid w:val="00267941"/>
    <w:rsid w:val="00287E91"/>
    <w:rsid w:val="002908B3"/>
    <w:rsid w:val="00291652"/>
    <w:rsid w:val="002964A1"/>
    <w:rsid w:val="00296F45"/>
    <w:rsid w:val="002A25F2"/>
    <w:rsid w:val="002A7C26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96FF6"/>
    <w:rsid w:val="003A4565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4253"/>
    <w:rsid w:val="004166B2"/>
    <w:rsid w:val="004203EF"/>
    <w:rsid w:val="0042181A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4E0207"/>
    <w:rsid w:val="004E7B47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0652"/>
    <w:rsid w:val="005F5280"/>
    <w:rsid w:val="005F66C2"/>
    <w:rsid w:val="005F7223"/>
    <w:rsid w:val="0060413B"/>
    <w:rsid w:val="00605EE6"/>
    <w:rsid w:val="0060669E"/>
    <w:rsid w:val="00614EBB"/>
    <w:rsid w:val="0061583E"/>
    <w:rsid w:val="00617BCA"/>
    <w:rsid w:val="00630106"/>
    <w:rsid w:val="00632159"/>
    <w:rsid w:val="00645B6A"/>
    <w:rsid w:val="00655225"/>
    <w:rsid w:val="00664174"/>
    <w:rsid w:val="006643EA"/>
    <w:rsid w:val="0067348D"/>
    <w:rsid w:val="006745A9"/>
    <w:rsid w:val="00682729"/>
    <w:rsid w:val="006B4541"/>
    <w:rsid w:val="006B7A91"/>
    <w:rsid w:val="006D1E2B"/>
    <w:rsid w:val="006E0D98"/>
    <w:rsid w:val="006E3180"/>
    <w:rsid w:val="006E6E26"/>
    <w:rsid w:val="006E70AA"/>
    <w:rsid w:val="006F7174"/>
    <w:rsid w:val="006F7A98"/>
    <w:rsid w:val="00700AC7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54957"/>
    <w:rsid w:val="007674D7"/>
    <w:rsid w:val="00772298"/>
    <w:rsid w:val="00794062"/>
    <w:rsid w:val="00797584"/>
    <w:rsid w:val="007A2D94"/>
    <w:rsid w:val="007B651A"/>
    <w:rsid w:val="007B6ED8"/>
    <w:rsid w:val="007B75E4"/>
    <w:rsid w:val="007C0AC5"/>
    <w:rsid w:val="007E2608"/>
    <w:rsid w:val="007F1726"/>
    <w:rsid w:val="0080200E"/>
    <w:rsid w:val="00803A33"/>
    <w:rsid w:val="008051ED"/>
    <w:rsid w:val="00811775"/>
    <w:rsid w:val="008248B2"/>
    <w:rsid w:val="00832A05"/>
    <w:rsid w:val="00834D88"/>
    <w:rsid w:val="00864085"/>
    <w:rsid w:val="008803D0"/>
    <w:rsid w:val="00880F24"/>
    <w:rsid w:val="008836AF"/>
    <w:rsid w:val="00885C9B"/>
    <w:rsid w:val="00893879"/>
    <w:rsid w:val="008B2172"/>
    <w:rsid w:val="008D2B09"/>
    <w:rsid w:val="008D4ED8"/>
    <w:rsid w:val="008D644E"/>
    <w:rsid w:val="008E5BCA"/>
    <w:rsid w:val="008E7A1F"/>
    <w:rsid w:val="009022B0"/>
    <w:rsid w:val="00905F4A"/>
    <w:rsid w:val="009145E4"/>
    <w:rsid w:val="009301D9"/>
    <w:rsid w:val="0094346F"/>
    <w:rsid w:val="00950429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D57BE"/>
    <w:rsid w:val="009F0698"/>
    <w:rsid w:val="009F4673"/>
    <w:rsid w:val="00A05705"/>
    <w:rsid w:val="00A05C9E"/>
    <w:rsid w:val="00A16F03"/>
    <w:rsid w:val="00A21136"/>
    <w:rsid w:val="00A3173F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24FC"/>
    <w:rsid w:val="00C51ECC"/>
    <w:rsid w:val="00C600D9"/>
    <w:rsid w:val="00C67ADA"/>
    <w:rsid w:val="00C73FC0"/>
    <w:rsid w:val="00C810E8"/>
    <w:rsid w:val="00C847C2"/>
    <w:rsid w:val="00CA6613"/>
    <w:rsid w:val="00CC69AD"/>
    <w:rsid w:val="00CE28C9"/>
    <w:rsid w:val="00CF1664"/>
    <w:rsid w:val="00CF5A8A"/>
    <w:rsid w:val="00D01278"/>
    <w:rsid w:val="00D12AB1"/>
    <w:rsid w:val="00D227AE"/>
    <w:rsid w:val="00D23B36"/>
    <w:rsid w:val="00D27AEB"/>
    <w:rsid w:val="00D50391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DF5472"/>
    <w:rsid w:val="00E01377"/>
    <w:rsid w:val="00E15D1C"/>
    <w:rsid w:val="00E23955"/>
    <w:rsid w:val="00E417DF"/>
    <w:rsid w:val="00E47327"/>
    <w:rsid w:val="00E67C6B"/>
    <w:rsid w:val="00E7385D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4EE7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D6DA7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E64CE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913AF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54C99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82EA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iPriority="0" w:name="Table 3D effects 1"/>
    <w:lsdException w:uiPriority="0" w:name="Table 3D effects 2"/>
    <w:lsdException w:uiPriority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06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07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09"/>
    <w:qFormat/>
    <w:uiPriority w:val="0"/>
    <w:pPr>
      <w:outlineLvl w:val="2"/>
    </w:pPr>
  </w:style>
  <w:style w:type="paragraph" w:styleId="7">
    <w:name w:val="heading 4"/>
    <w:basedOn w:val="1"/>
    <w:next w:val="5"/>
    <w:link w:val="210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1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2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3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4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15"/>
    <w:qFormat/>
    <w:uiPriority w:val="0"/>
    <w:pPr>
      <w:outlineLvl w:val="8"/>
    </w:pPr>
    <w:rPr>
      <w:rFonts w:cs="Simplified Arabic"/>
    </w:rPr>
  </w:style>
  <w:style w:type="character" w:default="1" w:styleId="196">
    <w:name w:val="Default Paragraph Font"/>
    <w:semiHidden/>
    <w:unhideWhenUsed/>
    <w:qFormat/>
    <w:uiPriority w:val="1"/>
  </w:style>
  <w:style w:type="table" w:default="1" w:styleId="7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05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08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16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17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18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19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0"/>
    <w:qFormat/>
    <w:uiPriority w:val="0"/>
    <w:rPr>
      <w:rFonts w:cs="Simplified Arabic"/>
    </w:rPr>
  </w:style>
  <w:style w:type="paragraph" w:styleId="28">
    <w:name w:val="Body Text 3"/>
    <w:basedOn w:val="1"/>
    <w:link w:val="221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2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3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4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25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26"/>
    <w:qFormat/>
    <w:uiPriority w:val="0"/>
    <w:rPr>
      <w:rFonts w:cs="Simplified Arabic"/>
    </w:rPr>
  </w:style>
  <w:style w:type="paragraph" w:styleId="42">
    <w:name w:val="Body Text Indent 2"/>
    <w:basedOn w:val="1"/>
    <w:link w:val="227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28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29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0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1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2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3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4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35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36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37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38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39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0"/>
    <w:qFormat/>
    <w:uiPriority w:val="0"/>
    <w:pPr>
      <w:spacing w:after="240"/>
    </w:pPr>
    <w:rPr>
      <w:b/>
      <w:bCs/>
    </w:rPr>
  </w:style>
  <w:style w:type="table" w:styleId="77">
    <w:name w:val="Table Grid"/>
    <w:basedOn w:val="7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">
    <w:name w:val="Table Theme"/>
    <w:basedOn w:val="76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9">
    <w:name w:val="Table Colorful 1"/>
    <w:basedOn w:val="76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Table Colorful 2"/>
    <w:basedOn w:val="76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Table Colorful 3"/>
    <w:basedOn w:val="76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Elegant"/>
    <w:basedOn w:val="76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lassic 1"/>
    <w:basedOn w:val="76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Table Classic 2"/>
    <w:basedOn w:val="76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3"/>
    <w:basedOn w:val="76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4"/>
    <w:basedOn w:val="76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Simple 1"/>
    <w:basedOn w:val="76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Simple 2"/>
    <w:basedOn w:val="76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3"/>
    <w:basedOn w:val="76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0">
    <w:name w:val="Table Subtle 1"/>
    <w:basedOn w:val="76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ubtle 2"/>
    <w:basedOn w:val="76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2">
    <w:name w:val="Table List 1"/>
    <w:basedOn w:val="76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List 2"/>
    <w:basedOn w:val="76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List 3"/>
    <w:basedOn w:val="76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List 4"/>
    <w:basedOn w:val="76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96">
    <w:name w:val="Table List 5"/>
    <w:basedOn w:val="76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6"/>
    <w:basedOn w:val="76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98">
    <w:name w:val="Table List 7"/>
    <w:basedOn w:val="76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99">
    <w:name w:val="Table List 8"/>
    <w:basedOn w:val="76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0">
    <w:name w:val="Table Contemporary"/>
    <w:basedOn w:val="76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1">
    <w:name w:val="Table Columns 1"/>
    <w:basedOn w:val="76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Columns 2"/>
    <w:basedOn w:val="76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3">
    <w:name w:val="Table Columns 3"/>
    <w:basedOn w:val="76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4">
    <w:name w:val="Table Columns 4"/>
    <w:basedOn w:val="76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5">
    <w:name w:val="Table Columns 5"/>
    <w:basedOn w:val="76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6">
    <w:name w:val="Table Grid 1"/>
    <w:basedOn w:val="76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7">
    <w:name w:val="Table Grid 2"/>
    <w:basedOn w:val="76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3"/>
    <w:basedOn w:val="76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9">
    <w:name w:val="Table Grid 4"/>
    <w:basedOn w:val="76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Grid 5"/>
    <w:basedOn w:val="76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1">
    <w:name w:val="Table Grid 6"/>
    <w:basedOn w:val="76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7"/>
    <w:basedOn w:val="76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Grid 8"/>
    <w:basedOn w:val="76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Web 1"/>
    <w:basedOn w:val="76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Web 2"/>
    <w:basedOn w:val="76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Web 3"/>
    <w:basedOn w:val="76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Professional"/>
    <w:basedOn w:val="76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8">
    <w:name w:val="Light Shading Accent 2"/>
    <w:basedOn w:val="76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19">
    <w:name w:val="Light Shading Accent 3"/>
    <w:basedOn w:val="76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0">
    <w:name w:val="Light Shading Accent 4"/>
    <w:basedOn w:val="76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1">
    <w:name w:val="Light Shading Accent 5"/>
    <w:basedOn w:val="76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2">
    <w:name w:val="Light Shading Accent 6"/>
    <w:basedOn w:val="76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3">
    <w:name w:val="Light List Accent 2"/>
    <w:basedOn w:val="76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4">
    <w:name w:val="Light List Accent 3"/>
    <w:basedOn w:val="76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25">
    <w:name w:val="Light List Accent 4"/>
    <w:basedOn w:val="76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26">
    <w:name w:val="Light List Accent 5"/>
    <w:basedOn w:val="76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27">
    <w:name w:val="Light List Accent 6"/>
    <w:basedOn w:val="76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28">
    <w:name w:val="Light Grid Accent 2"/>
    <w:basedOn w:val="76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29">
    <w:name w:val="Light Grid Accent 3"/>
    <w:basedOn w:val="76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0">
    <w:name w:val="Light Grid Accent 4"/>
    <w:basedOn w:val="76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1">
    <w:name w:val="Light Grid Accent 5"/>
    <w:basedOn w:val="76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2">
    <w:name w:val="Light Grid Accent 6"/>
    <w:basedOn w:val="76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3">
    <w:name w:val="Medium Shading 1 Accent 2"/>
    <w:basedOn w:val="76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4">
    <w:name w:val="Medium Shading 1 Accent 3"/>
    <w:basedOn w:val="76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5">
    <w:name w:val="Medium Shading 1 Accent 4"/>
    <w:basedOn w:val="76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6">
    <w:name w:val="Medium Shading 1 Accent 5"/>
    <w:basedOn w:val="76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7">
    <w:name w:val="Medium Shading 1 Accent 6"/>
    <w:basedOn w:val="76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8">
    <w:name w:val="Medium Shading 2 Accent 2"/>
    <w:basedOn w:val="76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Medium Shading 2 Accent 3"/>
    <w:basedOn w:val="76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Medium Shading 2 Accent 4"/>
    <w:basedOn w:val="76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Medium Shading 2 Accent 5"/>
    <w:basedOn w:val="76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Medium Shading 2 Accent 6"/>
    <w:basedOn w:val="76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Medium List 1 Accent 2"/>
    <w:basedOn w:val="76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4">
    <w:name w:val="Medium List 1 Accent 3"/>
    <w:basedOn w:val="76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45">
    <w:name w:val="Medium List 1 Accent 4"/>
    <w:basedOn w:val="76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46">
    <w:name w:val="Medium List 1 Accent 5"/>
    <w:basedOn w:val="76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47">
    <w:name w:val="Medium List 1 Accent 6"/>
    <w:basedOn w:val="76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48">
    <w:name w:val="Medium List 2 Accent 1"/>
    <w:basedOn w:val="76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9">
    <w:name w:val="Medium List 2 Accent 2"/>
    <w:basedOn w:val="76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0">
    <w:name w:val="Medium List 2 Accent 3"/>
    <w:basedOn w:val="76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1">
    <w:name w:val="Medium List 2 Accent 4"/>
    <w:basedOn w:val="76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2">
    <w:name w:val="Medium List 2 Accent 5"/>
    <w:basedOn w:val="76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3">
    <w:name w:val="Medium List 2 Accent 6"/>
    <w:basedOn w:val="76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Grid 1 Accent 1"/>
    <w:basedOn w:val="76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55">
    <w:name w:val="Medium Grid 1 Accent 2"/>
    <w:basedOn w:val="76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56">
    <w:name w:val="Medium Grid 1 Accent 3"/>
    <w:basedOn w:val="76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57">
    <w:name w:val="Medium Grid 1 Accent 4"/>
    <w:basedOn w:val="76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58">
    <w:name w:val="Medium Grid 1 Accent 5"/>
    <w:basedOn w:val="76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59">
    <w:name w:val="Medium Grid 1 Accent 6"/>
    <w:basedOn w:val="76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0">
    <w:name w:val="Medium Grid 2 Accent 1"/>
    <w:basedOn w:val="76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1">
    <w:name w:val="Medium Grid 2 Accent 2"/>
    <w:basedOn w:val="76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2">
    <w:name w:val="Medium Grid 2 Accent 3"/>
    <w:basedOn w:val="76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3">
    <w:name w:val="Medium Grid 2 Accent 4"/>
    <w:basedOn w:val="76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4">
    <w:name w:val="Medium Grid 2 Accent 5"/>
    <w:basedOn w:val="76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65">
    <w:name w:val="Medium Grid 2 Accent 6"/>
    <w:basedOn w:val="76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3 Accent 1"/>
    <w:basedOn w:val="76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67">
    <w:name w:val="Medium Grid 3 Accent 2"/>
    <w:basedOn w:val="76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68">
    <w:name w:val="Medium Grid 3 Accent 3"/>
    <w:basedOn w:val="76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69">
    <w:name w:val="Medium Grid 3 Accent 4"/>
    <w:basedOn w:val="76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0">
    <w:name w:val="Medium Grid 3 Accent 5"/>
    <w:basedOn w:val="76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1">
    <w:name w:val="Medium Grid 3 Accent 6"/>
    <w:basedOn w:val="76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2">
    <w:name w:val="Dark List Accent 1"/>
    <w:basedOn w:val="76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3">
    <w:name w:val="Dark List Accent 2"/>
    <w:basedOn w:val="76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4">
    <w:name w:val="Dark List Accent 3"/>
    <w:basedOn w:val="76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75">
    <w:name w:val="Dark List Accent 4"/>
    <w:basedOn w:val="76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76">
    <w:name w:val="Dark List Accent 5"/>
    <w:basedOn w:val="76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77">
    <w:name w:val="Dark List Accent 6"/>
    <w:basedOn w:val="76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78">
    <w:name w:val="Colorful Shading Accent 1"/>
    <w:basedOn w:val="76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79">
    <w:name w:val="Colorful Shading Accent 2"/>
    <w:basedOn w:val="76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0">
    <w:name w:val="Colorful Shading Accent 3"/>
    <w:basedOn w:val="76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1">
    <w:name w:val="Colorful Shading Accent 4"/>
    <w:basedOn w:val="76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2">
    <w:name w:val="Colorful Shading Accent 5"/>
    <w:basedOn w:val="76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3">
    <w:name w:val="Colorful Shading Accent 6"/>
    <w:basedOn w:val="76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List Accent 1"/>
    <w:basedOn w:val="76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85">
    <w:name w:val="Colorful List Accent 2"/>
    <w:basedOn w:val="76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86">
    <w:name w:val="Colorful List Accent 3"/>
    <w:basedOn w:val="76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87">
    <w:name w:val="Colorful List Accent 4"/>
    <w:basedOn w:val="76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88">
    <w:name w:val="Colorful List Accent 5"/>
    <w:basedOn w:val="76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89">
    <w:name w:val="Colorful List Accent 6"/>
    <w:basedOn w:val="76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0">
    <w:name w:val="Colorful Grid Accent 1"/>
    <w:basedOn w:val="76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1">
    <w:name w:val="Colorful Grid Accent 2"/>
    <w:basedOn w:val="76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2">
    <w:name w:val="Colorful Grid Accent 3"/>
    <w:basedOn w:val="76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3">
    <w:name w:val="Colorful Grid Accent 4"/>
    <w:basedOn w:val="76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4">
    <w:name w:val="Colorful Grid Accent 5"/>
    <w:basedOn w:val="76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95">
    <w:name w:val="Colorful Grid Accent 6"/>
    <w:basedOn w:val="76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97">
    <w:name w:val="Strong"/>
    <w:qFormat/>
    <w:uiPriority w:val="0"/>
    <w:rPr>
      <w:b/>
      <w:bCs/>
    </w:rPr>
  </w:style>
  <w:style w:type="character" w:styleId="198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199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0">
    <w:name w:val="FollowedHyperlink"/>
    <w:qFormat/>
    <w:uiPriority w:val="0"/>
    <w:rPr>
      <w:color w:val="800080"/>
      <w:u w:val="single"/>
    </w:rPr>
  </w:style>
  <w:style w:type="character" w:styleId="201">
    <w:name w:val="Emphasis"/>
    <w:qFormat/>
    <w:uiPriority w:val="0"/>
    <w:rPr>
      <w:i/>
      <w:iCs/>
    </w:rPr>
  </w:style>
  <w:style w:type="character" w:styleId="202">
    <w:name w:val="Hyperlink"/>
    <w:qFormat/>
    <w:uiPriority w:val="99"/>
    <w:rPr>
      <w:color w:val="0000FF"/>
      <w:u w:val="single"/>
    </w:rPr>
  </w:style>
  <w:style w:type="character" w:styleId="203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4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05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06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07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08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09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0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1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2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3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4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15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16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17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18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19">
    <w:name w:val="批注文字 字符"/>
    <w:link w:val="25"/>
    <w:qFormat/>
    <w:uiPriority w:val="0"/>
    <w:rPr>
      <w:lang w:bidi="ar-AE"/>
    </w:rPr>
  </w:style>
  <w:style w:type="character" w:customStyle="1" w:styleId="220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1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2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3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4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25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26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27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28">
    <w:name w:val="尾注文本 字符"/>
    <w:link w:val="43"/>
    <w:qFormat/>
    <w:uiPriority w:val="0"/>
    <w:rPr>
      <w:lang w:bidi="ar-AE"/>
    </w:rPr>
  </w:style>
  <w:style w:type="character" w:customStyle="1" w:styleId="229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0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1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2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3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4">
    <w:name w:val="脚注文本 字符"/>
    <w:link w:val="56"/>
    <w:qFormat/>
    <w:uiPriority w:val="0"/>
    <w:rPr>
      <w:lang w:bidi="ar-AE"/>
    </w:rPr>
  </w:style>
  <w:style w:type="character" w:customStyle="1" w:styleId="235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36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37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38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39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0">
    <w:name w:val="批注主题 字符"/>
    <w:link w:val="75"/>
    <w:qFormat/>
    <w:uiPriority w:val="0"/>
    <w:rPr>
      <w:b/>
      <w:bCs/>
      <w:lang w:bidi="ar-AE"/>
    </w:rPr>
  </w:style>
  <w:style w:type="paragraph" w:customStyle="1" w:styleId="241">
    <w:name w:val="正文文本首行缩进1"/>
    <w:basedOn w:val="5"/>
    <w:link w:val="242"/>
    <w:qFormat/>
    <w:uiPriority w:val="0"/>
    <w:pPr>
      <w:ind w:firstLine="720"/>
    </w:pPr>
  </w:style>
  <w:style w:type="character" w:customStyle="1" w:styleId="242">
    <w:name w:val="正文文本首行缩进 字符"/>
    <w:link w:val="241"/>
    <w:qFormat/>
    <w:uiPriority w:val="0"/>
    <w:rPr>
      <w:sz w:val="24"/>
      <w:szCs w:val="24"/>
      <w:lang w:eastAsia="en-GB" w:bidi="ar-AE"/>
    </w:rPr>
  </w:style>
  <w:style w:type="paragraph" w:customStyle="1" w:styleId="243">
    <w:name w:val="正文文本首行缩进 21"/>
    <w:basedOn w:val="241"/>
    <w:link w:val="244"/>
    <w:qFormat/>
    <w:uiPriority w:val="0"/>
    <w:pPr>
      <w:ind w:firstLine="1440"/>
    </w:pPr>
  </w:style>
  <w:style w:type="character" w:customStyle="1" w:styleId="244">
    <w:name w:val="正文文本首行缩进 2 字符"/>
    <w:link w:val="243"/>
    <w:qFormat/>
    <w:uiPriority w:val="0"/>
    <w:rPr>
      <w:sz w:val="24"/>
      <w:szCs w:val="24"/>
      <w:lang w:eastAsia="en-GB" w:bidi="ar-AE"/>
    </w:rPr>
  </w:style>
  <w:style w:type="table" w:customStyle="1" w:styleId="245">
    <w:name w:val="表三维效果 11"/>
    <w:basedOn w:val="76"/>
    <w:qFormat/>
    <w:uiPriority w:val="0"/>
    <w:pPr>
      <w:spacing w:after="240"/>
      <w:jc w:val="both"/>
    </w:p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46">
    <w:name w:val="表三维效果 21"/>
    <w:basedOn w:val="76"/>
    <w:qFormat/>
    <w:uiPriority w:val="0"/>
    <w:pPr>
      <w:spacing w:after="240"/>
      <w:jc w:val="both"/>
    </w:pPr>
    <w:tcPr>
      <w:shd w:val="solid" w:color="C0C0C0" w:fill="FFFFFF"/>
    </w:tc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47">
    <w:name w:val="表三维效果 31"/>
    <w:basedOn w:val="76"/>
    <w:qFormat/>
    <w:uiPriority w:val="0"/>
    <w:pPr>
      <w:spacing w:after="240"/>
      <w:jc w:val="both"/>
    </w:p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customStyle="1" w:styleId="255">
    <w:name w:val="列表段落1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标题1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书目1"/>
    <w:basedOn w:val="1"/>
    <w:next w:val="1"/>
    <w:qFormat/>
    <w:uiPriority w:val="0"/>
  </w:style>
  <w:style w:type="table" w:customStyle="1" w:styleId="269">
    <w:name w:val="Colorful Grid1"/>
    <w:basedOn w:val="76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6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6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6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6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6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6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6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6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6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6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6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6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6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6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6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6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6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6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6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797</Characters>
  <Lines>6</Lines>
  <Paragraphs>1</Paragraphs>
  <TotalTime>1</TotalTime>
  <ScaleCrop>false</ScaleCrop>
  <LinksUpToDate>false</LinksUpToDate>
  <CharactersWithSpaces>935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2022-11-08T15:20:00Z</dcterms:created>
  <dc:creator>scjgj</dc:creator>
  <cp:lastModifiedBy>scjgj</cp:lastModifiedBy>
  <cp:lastPrinted>2023-06-16T10:13:07Z</cp:lastPrinted>
  <dcterms:modified xsi:type="dcterms:W3CDTF">2023-06-16T10:13:09Z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