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A5D4FE" w14:textId="77777777" w:rsidR="001601B8" w:rsidRDefault="00000000">
      <w:pPr>
        <w:widowControl/>
        <w:spacing w:after="240"/>
        <w:jc w:val="center"/>
        <w:rPr>
          <w:rFonts w:ascii="黑体" w:eastAsia="黑体" w:hAnsi="黑体" w:cs="Arial"/>
          <w:sz w:val="36"/>
          <w:szCs w:val="36"/>
        </w:rPr>
      </w:pPr>
      <w:r>
        <w:rPr>
          <w:rFonts w:ascii="黑体" w:eastAsia="黑体" w:hAnsi="黑体" w:cs="Arial"/>
          <w:sz w:val="36"/>
          <w:szCs w:val="36"/>
        </w:rPr>
        <w:t>经营者集中简易案件公示表</w:t>
      </w: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1601B8" w14:paraId="74988B3C" w14:textId="77777777">
        <w:trPr>
          <w:trHeight w:val="541"/>
        </w:trPr>
        <w:tc>
          <w:tcPr>
            <w:tcW w:w="1809" w:type="dxa"/>
            <w:shd w:val="clear" w:color="auto" w:fill="D9D9D9"/>
            <w:vAlign w:val="center"/>
          </w:tcPr>
          <w:p w14:paraId="57E8EAF7" w14:textId="77777777" w:rsidR="001601B8" w:rsidRDefault="00000000">
            <w:pPr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 w14:paraId="1D8AE5A4" w14:textId="77777777" w:rsidR="001601B8" w:rsidRDefault="00000000">
            <w:pPr>
              <w:rPr>
                <w:rFonts w:ascii="宋体" w:hAnsi="宋体" w:cs="宋体"/>
                <w:kern w:val="0"/>
                <w:sz w:val="32"/>
                <w:szCs w:val="32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本特勒投资（中国）有限公司与北京海纳川汽车部件股份有限公司新设合营企业案</w:t>
            </w:r>
          </w:p>
        </w:tc>
      </w:tr>
      <w:tr w:rsidR="001601B8" w14:paraId="7F40265E" w14:textId="77777777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1B2261A7" w14:textId="77777777" w:rsidR="001601B8" w:rsidRDefault="00000000">
            <w:pPr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交易概况（限200字内）</w:t>
            </w:r>
          </w:p>
        </w:tc>
        <w:tc>
          <w:tcPr>
            <w:tcW w:w="6949" w:type="dxa"/>
            <w:gridSpan w:val="2"/>
            <w:vAlign w:val="center"/>
          </w:tcPr>
          <w:p w14:paraId="11090A07" w14:textId="797A665D" w:rsidR="001601B8" w:rsidRDefault="00000000">
            <w:pPr>
              <w:widowControl/>
              <w:snapToGrid w:val="0"/>
              <w:jc w:val="left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本特勒投资（中国）有限公司（“本特勒”）</w:t>
            </w:r>
            <w:r>
              <w:rPr>
                <w:rFonts w:ascii="宋体" w:hAnsi="宋体" w:cs="宋体" w:hint="eastAsia"/>
                <w:sz w:val="24"/>
                <w:szCs w:val="24"/>
              </w:rPr>
              <w:t>与</w:t>
            </w: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北京海纳川汽车部件股份有限公司（“海纳川”）</w:t>
            </w:r>
            <w:r>
              <w:rPr>
                <w:rFonts w:ascii="宋体" w:hAnsi="宋体" w:cs="宋体" w:hint="eastAsia"/>
                <w:sz w:val="24"/>
                <w:szCs w:val="24"/>
              </w:rPr>
              <w:t>签署协议拟于中国北京市共同出资设立两家合资经营企业。两家合营企业</w:t>
            </w:r>
            <w:proofErr w:type="gramStart"/>
            <w:r>
              <w:rPr>
                <w:rFonts w:ascii="宋体" w:hAnsi="宋体" w:cs="宋体" w:hint="eastAsia"/>
                <w:sz w:val="24"/>
                <w:szCs w:val="24"/>
              </w:rPr>
              <w:t>拟</w:t>
            </w:r>
            <w:r w:rsidR="009E2C88">
              <w:rPr>
                <w:rFonts w:ascii="宋体" w:hAnsi="宋体" w:cs="宋体" w:hint="eastAsia"/>
                <w:sz w:val="24"/>
                <w:szCs w:val="24"/>
              </w:rPr>
              <w:t>主要</w:t>
            </w:r>
            <w:proofErr w:type="gramEnd"/>
            <w:r w:rsidR="009E2C88">
              <w:rPr>
                <w:rFonts w:ascii="宋体" w:hAnsi="宋体" w:cs="宋体" w:hint="eastAsia"/>
                <w:sz w:val="24"/>
                <w:szCs w:val="24"/>
              </w:rPr>
              <w:t>从事</w:t>
            </w:r>
            <w:r>
              <w:rPr>
                <w:rFonts w:ascii="宋体" w:hAnsi="宋体" w:cs="宋体" w:hint="eastAsia"/>
                <w:sz w:val="24"/>
                <w:szCs w:val="24"/>
              </w:rPr>
              <w:t>乘用车底盘模块</w:t>
            </w:r>
            <w:r w:rsidR="00FA11D9">
              <w:rPr>
                <w:rFonts w:ascii="宋体" w:hAnsi="宋体" w:cs="宋体" w:hint="eastAsia"/>
                <w:sz w:val="24"/>
                <w:szCs w:val="24"/>
              </w:rPr>
              <w:t>业务</w:t>
            </w:r>
            <w:r>
              <w:rPr>
                <w:rFonts w:ascii="宋体" w:hAnsi="宋体" w:cs="宋体" w:hint="eastAsia"/>
                <w:sz w:val="24"/>
                <w:szCs w:val="24"/>
              </w:rPr>
              <w:t>。</w:t>
            </w:r>
          </w:p>
          <w:p w14:paraId="22D27786" w14:textId="77777777" w:rsidR="001601B8" w:rsidRDefault="00000000">
            <w:pPr>
              <w:widowControl/>
              <w:snapToGrid w:val="0"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交易后，本特勒持有合营企业一</w:t>
            </w:r>
            <w:proofErr w:type="gramStart"/>
            <w:r>
              <w:rPr>
                <w:rFonts w:ascii="宋体" w:hAnsi="宋体" w:cs="宋体" w:hint="eastAsia"/>
                <w:sz w:val="24"/>
                <w:szCs w:val="24"/>
              </w:rPr>
              <w:t>51</w:t>
            </w:r>
            <w:proofErr w:type="gramEnd"/>
            <w:r>
              <w:rPr>
                <w:rFonts w:ascii="宋体" w:hAnsi="宋体" w:cs="宋体" w:hint="eastAsia"/>
                <w:sz w:val="24"/>
                <w:szCs w:val="24"/>
              </w:rPr>
              <w:t>%的股权，</w:t>
            </w:r>
            <w:proofErr w:type="gramStart"/>
            <w:r>
              <w:rPr>
                <w:rFonts w:ascii="宋体" w:hAnsi="宋体" w:cs="宋体" w:hint="eastAsia"/>
                <w:sz w:val="24"/>
                <w:szCs w:val="24"/>
              </w:rPr>
              <w:t>海纳川持有</w:t>
            </w:r>
            <w:proofErr w:type="gramEnd"/>
            <w:r>
              <w:rPr>
                <w:rFonts w:ascii="宋体" w:hAnsi="宋体" w:cs="宋体" w:hint="eastAsia"/>
                <w:sz w:val="24"/>
                <w:szCs w:val="24"/>
              </w:rPr>
              <w:t>合营企业一</w:t>
            </w:r>
            <w:proofErr w:type="gramStart"/>
            <w:r>
              <w:rPr>
                <w:rFonts w:ascii="宋体" w:hAnsi="宋体" w:cs="宋体" w:hint="eastAsia"/>
                <w:sz w:val="24"/>
                <w:szCs w:val="24"/>
              </w:rPr>
              <w:t>49</w:t>
            </w:r>
            <w:proofErr w:type="gramEnd"/>
            <w:r>
              <w:rPr>
                <w:rFonts w:ascii="宋体" w:hAnsi="宋体" w:cs="宋体" w:hint="eastAsia"/>
                <w:sz w:val="24"/>
                <w:szCs w:val="24"/>
              </w:rPr>
              <w:t>%的股权；本特勒持有合营企业二</w:t>
            </w:r>
            <w:proofErr w:type="gramStart"/>
            <w:r>
              <w:rPr>
                <w:rFonts w:ascii="宋体" w:hAnsi="宋体" w:cs="宋体" w:hint="eastAsia"/>
                <w:sz w:val="24"/>
                <w:szCs w:val="24"/>
              </w:rPr>
              <w:t>49</w:t>
            </w:r>
            <w:proofErr w:type="gramEnd"/>
            <w:r>
              <w:rPr>
                <w:rFonts w:ascii="宋体" w:hAnsi="宋体" w:cs="宋体" w:hint="eastAsia"/>
                <w:sz w:val="24"/>
                <w:szCs w:val="24"/>
              </w:rPr>
              <w:t>%的股权，</w:t>
            </w:r>
            <w:proofErr w:type="gramStart"/>
            <w:r>
              <w:rPr>
                <w:rFonts w:ascii="宋体" w:hAnsi="宋体" w:cs="宋体" w:hint="eastAsia"/>
                <w:sz w:val="24"/>
                <w:szCs w:val="24"/>
              </w:rPr>
              <w:t>海纳川持有</w:t>
            </w:r>
            <w:proofErr w:type="gramEnd"/>
            <w:r>
              <w:rPr>
                <w:rFonts w:ascii="宋体" w:hAnsi="宋体" w:cs="宋体" w:hint="eastAsia"/>
                <w:sz w:val="24"/>
                <w:szCs w:val="24"/>
              </w:rPr>
              <w:t>合营企业二</w:t>
            </w:r>
            <w:proofErr w:type="gramStart"/>
            <w:r>
              <w:rPr>
                <w:rFonts w:ascii="宋体" w:hAnsi="宋体" w:cs="宋体" w:hint="eastAsia"/>
                <w:sz w:val="24"/>
                <w:szCs w:val="24"/>
              </w:rPr>
              <w:t>51</w:t>
            </w:r>
            <w:proofErr w:type="gramEnd"/>
            <w:r>
              <w:rPr>
                <w:rFonts w:ascii="宋体" w:hAnsi="宋体" w:cs="宋体" w:hint="eastAsia"/>
                <w:sz w:val="24"/>
                <w:szCs w:val="24"/>
              </w:rPr>
              <w:t>%的股权。本特勒和</w:t>
            </w:r>
            <w:proofErr w:type="gramStart"/>
            <w:r>
              <w:rPr>
                <w:rFonts w:ascii="宋体" w:hAnsi="宋体" w:cs="宋体" w:hint="eastAsia"/>
                <w:sz w:val="24"/>
                <w:szCs w:val="24"/>
              </w:rPr>
              <w:t>海纳川将</w:t>
            </w:r>
            <w:proofErr w:type="gramEnd"/>
            <w:r>
              <w:rPr>
                <w:rFonts w:ascii="宋体" w:hAnsi="宋体" w:cs="宋体" w:hint="eastAsia"/>
                <w:sz w:val="24"/>
                <w:szCs w:val="24"/>
              </w:rPr>
              <w:t>共同控制两家合营企业。</w:t>
            </w:r>
          </w:p>
        </w:tc>
      </w:tr>
      <w:tr w:rsidR="001601B8" w14:paraId="17849FC0" w14:textId="77777777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5B0CEA6B" w14:textId="77777777" w:rsidR="001601B8" w:rsidRDefault="00000000">
            <w:pPr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参与集中的</w:t>
            </w:r>
          </w:p>
          <w:p w14:paraId="1989F7E5" w14:textId="77777777" w:rsidR="001601B8" w:rsidRDefault="00000000">
            <w:pPr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经营者简介</w:t>
            </w:r>
          </w:p>
        </w:tc>
        <w:tc>
          <w:tcPr>
            <w:tcW w:w="1796" w:type="dxa"/>
            <w:vAlign w:val="center"/>
          </w:tcPr>
          <w:p w14:paraId="5CF7CAAE" w14:textId="77777777" w:rsidR="001601B8" w:rsidRDefault="00000000"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1.本特勒</w:t>
            </w:r>
          </w:p>
        </w:tc>
        <w:tc>
          <w:tcPr>
            <w:tcW w:w="5153" w:type="dxa"/>
            <w:vAlign w:val="center"/>
          </w:tcPr>
          <w:p w14:paraId="6EB623DA" w14:textId="77777777" w:rsidR="00EE4ABE" w:rsidRDefault="00000000">
            <w:pPr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本特勒于</w:t>
            </w:r>
            <w:r>
              <w:rPr>
                <w:rFonts w:ascii="宋体" w:hAnsi="宋体" w:cs="宋体" w:hint="eastAsia"/>
                <w:sz w:val="24"/>
                <w:szCs w:val="24"/>
              </w:rPr>
              <w:t>2011年8月23日成立于上海市。</w:t>
            </w:r>
            <w:r w:rsidRPr="002A455E">
              <w:rPr>
                <w:rFonts w:ascii="宋体" w:hAnsi="宋体" w:cs="宋体" w:hint="eastAsia"/>
                <w:kern w:val="0"/>
                <w:sz w:val="24"/>
                <w:szCs w:val="24"/>
              </w:rPr>
              <w:t>其主要业务</w:t>
            </w:r>
            <w:r w:rsidR="00D97EEF" w:rsidRPr="002A455E">
              <w:rPr>
                <w:rFonts w:ascii="宋体" w:hAnsi="宋体" w:cs="宋体" w:hint="eastAsia"/>
                <w:kern w:val="0"/>
                <w:sz w:val="24"/>
                <w:szCs w:val="24"/>
              </w:rPr>
              <w:t>为负责投资和管理在中国境内从事</w:t>
            </w:r>
            <w:r w:rsidRPr="009C0571">
              <w:rPr>
                <w:rFonts w:hint="eastAsia"/>
                <w:sz w:val="24"/>
                <w:szCs w:val="24"/>
              </w:rPr>
              <w:t>乘用车底盘零部件、底盘模块、车身结构件、发动机及排气系统</w:t>
            </w:r>
            <w:r w:rsidR="009C0571">
              <w:rPr>
                <w:rFonts w:ascii="宋体" w:hAnsi="宋体" w:cs="宋体" w:hint="eastAsia"/>
                <w:sz w:val="24"/>
                <w:szCs w:val="24"/>
              </w:rPr>
              <w:t>业务的关联企业</w:t>
            </w:r>
            <w:r w:rsidRPr="009C0571">
              <w:rPr>
                <w:rFonts w:ascii="宋体" w:hAnsi="宋体" w:cs="宋体" w:hint="eastAsia"/>
                <w:sz w:val="24"/>
                <w:szCs w:val="24"/>
              </w:rPr>
              <w:t>。</w:t>
            </w:r>
          </w:p>
          <w:p w14:paraId="66DF1710" w14:textId="313C3B27" w:rsidR="001601B8" w:rsidRDefault="00000000"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本特勒的最终控制人为自然人，主要业务为通过本特勒国际</w:t>
            </w:r>
            <w:r w:rsidR="009C0571">
              <w:rPr>
                <w:rFonts w:ascii="宋体" w:hAnsi="宋体" w:cs="宋体" w:hint="eastAsia"/>
                <w:sz w:val="24"/>
                <w:szCs w:val="24"/>
              </w:rPr>
              <w:t>公司</w:t>
            </w:r>
            <w:r>
              <w:rPr>
                <w:rFonts w:ascii="宋体" w:hAnsi="宋体" w:cs="宋体" w:hint="eastAsia"/>
                <w:sz w:val="24"/>
                <w:szCs w:val="24"/>
              </w:rPr>
              <w:t>控制其在全球的各项业务。本特勒国际</w:t>
            </w:r>
            <w:r w:rsidR="009C0571">
              <w:rPr>
                <w:rFonts w:ascii="宋体" w:hAnsi="宋体" w:cs="宋体" w:hint="eastAsia"/>
                <w:sz w:val="24"/>
                <w:szCs w:val="24"/>
              </w:rPr>
              <w:t>公司</w:t>
            </w:r>
            <w:r>
              <w:rPr>
                <w:rFonts w:ascii="宋体" w:hAnsi="宋体" w:cs="宋体" w:hint="eastAsia"/>
                <w:sz w:val="24"/>
                <w:szCs w:val="24"/>
              </w:rPr>
              <w:t>的主要业务包括汽车零部件及系统（主要为乘用车底盘零部件，底盘模块，车身结构件，发动机及排气系统等）、钢材/管材。</w:t>
            </w:r>
          </w:p>
        </w:tc>
      </w:tr>
      <w:tr w:rsidR="001601B8" w14:paraId="445D8B40" w14:textId="77777777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55F1418B" w14:textId="77777777" w:rsidR="001601B8" w:rsidRDefault="001601B8">
            <w:pPr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1796" w:type="dxa"/>
            <w:vAlign w:val="center"/>
          </w:tcPr>
          <w:p w14:paraId="236C6590" w14:textId="531C7E49" w:rsidR="001601B8" w:rsidRDefault="00000000"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2</w:t>
            </w:r>
            <w:r w:rsidR="00510F20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.</w:t>
            </w:r>
            <w:proofErr w:type="gramStart"/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海纳川</w:t>
            </w:r>
            <w:proofErr w:type="gramEnd"/>
          </w:p>
        </w:tc>
        <w:tc>
          <w:tcPr>
            <w:tcW w:w="5153" w:type="dxa"/>
            <w:vAlign w:val="center"/>
          </w:tcPr>
          <w:p w14:paraId="108106A7" w14:textId="3DC68BE2" w:rsidR="001601B8" w:rsidRDefault="00000000">
            <w:pPr>
              <w:rPr>
                <w:rFonts w:ascii="宋体" w:hAnsi="宋体" w:cs="宋体"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海</w:t>
            </w:r>
            <w:proofErr w:type="gramStart"/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纳川于</w:t>
            </w:r>
            <w:proofErr w:type="gramEnd"/>
            <w:r>
              <w:rPr>
                <w:rFonts w:ascii="宋体" w:hAnsi="宋体" w:cs="宋体" w:hint="eastAsia"/>
                <w:sz w:val="24"/>
                <w:szCs w:val="24"/>
              </w:rPr>
              <w:t>2008年1月25日</w:t>
            </w:r>
            <w:r>
              <w:rPr>
                <w:rFonts w:ascii="Arial" w:hAnsi="Arial" w:hint="eastAsia"/>
                <w:sz w:val="24"/>
                <w:szCs w:val="24"/>
              </w:rPr>
              <w:t>成立于北京市。其主要业务为</w:t>
            </w:r>
            <w:r>
              <w:rPr>
                <w:rFonts w:ascii="宋体" w:hAnsi="宋体" w:cs="宋体" w:hint="eastAsia"/>
                <w:bCs/>
                <w:kern w:val="0"/>
                <w:sz w:val="24"/>
                <w:szCs w:val="24"/>
              </w:rPr>
              <w:t>汽车内外饰系统、汽车座椅系统、汽车电子系统、汽车热交换系统、汽车底盘及其他系统。</w:t>
            </w:r>
          </w:p>
          <w:p w14:paraId="40E8F721" w14:textId="77777777" w:rsidR="001601B8" w:rsidRDefault="00000000">
            <w:pPr>
              <w:rPr>
                <w:rFonts w:ascii="宋体" w:hAnsi="宋体" w:cs="宋体"/>
                <w:bCs/>
                <w:kern w:val="0"/>
                <w:szCs w:val="21"/>
              </w:rPr>
            </w:pPr>
            <w:proofErr w:type="gramStart"/>
            <w:r>
              <w:rPr>
                <w:rFonts w:ascii="宋体" w:hAnsi="宋体" w:cs="宋体" w:hint="eastAsia"/>
                <w:bCs/>
                <w:kern w:val="0"/>
                <w:sz w:val="24"/>
                <w:szCs w:val="24"/>
              </w:rPr>
              <w:t>海纳川的</w:t>
            </w:r>
            <w:proofErr w:type="gramEnd"/>
            <w:r>
              <w:rPr>
                <w:rFonts w:ascii="宋体" w:hAnsi="宋体" w:cs="宋体" w:hint="eastAsia"/>
                <w:bCs/>
                <w:kern w:val="0"/>
                <w:sz w:val="24"/>
                <w:szCs w:val="24"/>
              </w:rPr>
              <w:t>最终控制人为</w:t>
            </w:r>
            <w:r>
              <w:rPr>
                <w:rFonts w:ascii="宋体" w:hAnsi="宋体" w:cs="宋体" w:hint="eastAsia"/>
                <w:bCs/>
                <w:sz w:val="24"/>
                <w:szCs w:val="24"/>
              </w:rPr>
              <w:t>北京汽车集团有限公司，主要业务为整车及零部件研发制造、汽车服务贸易、综合出行服务、金融与投资。</w:t>
            </w:r>
          </w:p>
        </w:tc>
      </w:tr>
      <w:tr w:rsidR="001601B8" w14:paraId="10A8F9B5" w14:textId="77777777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53B3DD0E" w14:textId="77777777" w:rsidR="001601B8" w:rsidRDefault="00000000">
            <w:pPr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  <w:vAlign w:val="center"/>
          </w:tcPr>
          <w:p w14:paraId="363454E1" w14:textId="48CC37D3" w:rsidR="001601B8" w:rsidRDefault="00000000"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bookmarkStart w:id="0" w:name="OLE_LINK21"/>
            <w:bookmarkStart w:id="1" w:name="OLE_LINK22"/>
            <w:r>
              <w:rPr>
                <w:rFonts w:ascii="宋体" w:hAnsi="宋体" w:cs="宋体"/>
                <w:sz w:val="24"/>
                <w:szCs w:val="24"/>
              </w:rPr>
              <w:sym w:font="Wingdings" w:char="F0FE"/>
            </w:r>
            <w:bookmarkEnd w:id="0"/>
            <w:bookmarkEnd w:id="1"/>
            <w:r>
              <w:rPr>
                <w:rFonts w:ascii="宋体" w:hAnsi="宋体" w:cs="宋体" w:hint="eastAsia"/>
                <w:sz w:val="24"/>
                <w:szCs w:val="24"/>
              </w:rPr>
              <w:t xml:space="preserve"> </w:t>
            </w: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1</w:t>
            </w:r>
            <w:r w:rsidR="00510F20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、</w:t>
            </w: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在同一相关市场，所有参与集中的经营者所占市场份额之和小于15%。</w:t>
            </w:r>
          </w:p>
        </w:tc>
      </w:tr>
      <w:tr w:rsidR="001601B8" w14:paraId="306DBC10" w14:textId="77777777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3D80508C" w14:textId="77777777" w:rsidR="001601B8" w:rsidRDefault="001601B8">
            <w:pPr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7E9EE2BF" w14:textId="09EF9B9D" w:rsidR="001601B8" w:rsidRDefault="00000000"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sz w:val="24"/>
                <w:szCs w:val="24"/>
              </w:rPr>
              <w:sym w:font="Wingdings" w:char="F0FE"/>
            </w:r>
            <w:r>
              <w:rPr>
                <w:rFonts w:ascii="宋体" w:hAnsi="宋体" w:cs="宋体" w:hint="eastAsia"/>
                <w:sz w:val="24"/>
                <w:szCs w:val="24"/>
              </w:rPr>
              <w:t xml:space="preserve"> </w:t>
            </w: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2</w:t>
            </w:r>
            <w:r w:rsidR="00510F20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、</w:t>
            </w: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存在上下游关系的参与集中的经营者，在上下游市场所占的市场份额均小于25%。</w:t>
            </w:r>
          </w:p>
        </w:tc>
      </w:tr>
      <w:tr w:rsidR="001601B8" w14:paraId="799B2A63" w14:textId="77777777">
        <w:trPr>
          <w:trHeight w:val="768"/>
        </w:trPr>
        <w:tc>
          <w:tcPr>
            <w:tcW w:w="1809" w:type="dxa"/>
            <w:vMerge/>
            <w:shd w:val="clear" w:color="auto" w:fill="D9D9D9"/>
            <w:vAlign w:val="center"/>
          </w:tcPr>
          <w:p w14:paraId="7CD48342" w14:textId="77777777" w:rsidR="001601B8" w:rsidRDefault="001601B8">
            <w:pPr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7FBC65D2" w14:textId="483187CA" w:rsidR="001601B8" w:rsidRPr="00510F20" w:rsidRDefault="00000000"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B602C4">
              <w:rPr>
                <w:rFonts w:ascii="宋体" w:hAnsi="宋体" w:cs="宋体" w:hint="eastAsia"/>
                <w:sz w:val="24"/>
                <w:szCs w:val="24"/>
              </w:rPr>
              <w:sym w:font="Wingdings" w:char="F0A8"/>
            </w:r>
            <w:r w:rsidRPr="00510F20">
              <w:rPr>
                <w:rFonts w:ascii="宋体" w:hAnsi="宋体" w:cs="宋体" w:hint="eastAsia"/>
                <w:sz w:val="24"/>
                <w:szCs w:val="24"/>
              </w:rPr>
              <w:t xml:space="preserve"> </w:t>
            </w:r>
            <w:r w:rsidRPr="00510F20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3</w:t>
            </w:r>
            <w:r w:rsidR="00510F20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、</w:t>
            </w:r>
            <w:r w:rsidRPr="00510F20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不在同一相关市场、也不存在上下游关系的参与集中的经营者，在与交易有关的每个市场所占的份额均小于25%。</w:t>
            </w:r>
          </w:p>
        </w:tc>
      </w:tr>
      <w:tr w:rsidR="001601B8" w14:paraId="1F568742" w14:textId="77777777">
        <w:trPr>
          <w:trHeight w:val="706"/>
        </w:trPr>
        <w:tc>
          <w:tcPr>
            <w:tcW w:w="1809" w:type="dxa"/>
            <w:vMerge/>
            <w:shd w:val="clear" w:color="auto" w:fill="D9D9D9"/>
            <w:vAlign w:val="center"/>
          </w:tcPr>
          <w:p w14:paraId="50B616F8" w14:textId="77777777" w:rsidR="001601B8" w:rsidRDefault="001601B8">
            <w:pPr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749BFD6F" w14:textId="2F331B3D" w:rsidR="001601B8" w:rsidRPr="00510F20" w:rsidRDefault="00000000"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B602C4">
              <w:rPr>
                <w:rFonts w:ascii="宋体" w:hAnsi="宋体" w:cs="宋体" w:hint="eastAsia"/>
                <w:sz w:val="24"/>
                <w:szCs w:val="24"/>
              </w:rPr>
              <w:sym w:font="Wingdings" w:char="F0A8"/>
            </w:r>
            <w:r w:rsidRPr="00510F20">
              <w:rPr>
                <w:rFonts w:ascii="宋体" w:hAnsi="宋体" w:cs="宋体" w:hint="eastAsia"/>
                <w:sz w:val="24"/>
                <w:szCs w:val="24"/>
              </w:rPr>
              <w:t xml:space="preserve"> </w:t>
            </w:r>
            <w:r w:rsidRPr="00510F20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4</w:t>
            </w:r>
            <w:r w:rsidR="00510F20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、</w:t>
            </w:r>
            <w:r w:rsidRPr="00510F20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参与集中的经营者在中国境外设立合营企业，合营企业不在中国境内从事经济活动。</w:t>
            </w:r>
          </w:p>
        </w:tc>
      </w:tr>
      <w:tr w:rsidR="001601B8" w14:paraId="04B36577" w14:textId="77777777">
        <w:trPr>
          <w:trHeight w:val="704"/>
        </w:trPr>
        <w:tc>
          <w:tcPr>
            <w:tcW w:w="1809" w:type="dxa"/>
            <w:vMerge/>
            <w:shd w:val="clear" w:color="auto" w:fill="D9D9D9"/>
            <w:vAlign w:val="center"/>
          </w:tcPr>
          <w:p w14:paraId="558FB33C" w14:textId="77777777" w:rsidR="001601B8" w:rsidRDefault="001601B8">
            <w:pPr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04DBF0D9" w14:textId="56A8B83E" w:rsidR="001601B8" w:rsidRPr="00510F20" w:rsidRDefault="00000000"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B602C4">
              <w:rPr>
                <w:rFonts w:ascii="宋体" w:hAnsi="宋体" w:cs="宋体" w:hint="eastAsia"/>
                <w:sz w:val="24"/>
                <w:szCs w:val="24"/>
              </w:rPr>
              <w:sym w:font="Wingdings" w:char="F0A8"/>
            </w:r>
            <w:r w:rsidRPr="00510F20">
              <w:rPr>
                <w:rFonts w:ascii="宋体" w:hAnsi="宋体" w:cs="宋体" w:hint="eastAsia"/>
                <w:sz w:val="24"/>
                <w:szCs w:val="24"/>
              </w:rPr>
              <w:t xml:space="preserve"> </w:t>
            </w:r>
            <w:r w:rsidRPr="00510F20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5</w:t>
            </w:r>
            <w:r w:rsidR="00510F20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、</w:t>
            </w:r>
            <w:r w:rsidRPr="00510F20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参与集中的经营者收购境外企业股权或资产的，该境外企业不在中国境内从事经济活动。</w:t>
            </w:r>
          </w:p>
        </w:tc>
      </w:tr>
      <w:tr w:rsidR="001601B8" w14:paraId="46F51583" w14:textId="77777777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71483548" w14:textId="77777777" w:rsidR="001601B8" w:rsidRDefault="001601B8">
            <w:pPr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7A310E0E" w14:textId="21B10E7F" w:rsidR="001601B8" w:rsidRPr="00510F20" w:rsidRDefault="00000000"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 w:rsidRPr="00B602C4">
              <w:rPr>
                <w:rFonts w:ascii="宋体" w:hAnsi="宋体" w:cs="宋体" w:hint="eastAsia"/>
                <w:sz w:val="24"/>
                <w:szCs w:val="24"/>
              </w:rPr>
              <w:sym w:font="Wingdings" w:char="F0A8"/>
            </w:r>
            <w:r w:rsidRPr="00510F20">
              <w:rPr>
                <w:rFonts w:ascii="宋体" w:hAnsi="宋体" w:cs="宋体" w:hint="eastAsia"/>
                <w:sz w:val="24"/>
                <w:szCs w:val="24"/>
              </w:rPr>
              <w:t xml:space="preserve"> </w:t>
            </w:r>
            <w:r w:rsidRPr="00510F20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6</w:t>
            </w:r>
            <w:r w:rsidR="00510F20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、</w:t>
            </w:r>
            <w:r w:rsidRPr="00510F20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由两个以上的经营者共同控制的合营企业，通过集中被其中一个或一个以上经营者控制。</w:t>
            </w:r>
          </w:p>
        </w:tc>
      </w:tr>
      <w:tr w:rsidR="001601B8" w14:paraId="3FE02282" w14:textId="77777777">
        <w:trPr>
          <w:trHeight w:val="367"/>
        </w:trPr>
        <w:tc>
          <w:tcPr>
            <w:tcW w:w="1809" w:type="dxa"/>
            <w:shd w:val="clear" w:color="auto" w:fill="D9D9D9"/>
            <w:vAlign w:val="center"/>
          </w:tcPr>
          <w:p w14:paraId="4347281E" w14:textId="77777777" w:rsidR="001601B8" w:rsidRDefault="00000000">
            <w:pPr>
              <w:jc w:val="left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  <w:vAlign w:val="center"/>
          </w:tcPr>
          <w:p w14:paraId="1BDAE576" w14:textId="77777777" w:rsidR="001601B8" w:rsidRDefault="00000000">
            <w:pPr>
              <w:pStyle w:val="a5"/>
              <w:adjustRightInd w:val="0"/>
              <w:snapToGrid w:val="0"/>
              <w:spacing w:after="0"/>
              <w:rPr>
                <w:rFonts w:ascii="宋体" w:hAnsi="宋体" w:cs="宋体"/>
                <w:b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/>
                <w:color w:val="000000"/>
                <w:lang w:val="en-US" w:eastAsia="zh-CN"/>
              </w:rPr>
              <w:t>横向重叠：</w:t>
            </w:r>
          </w:p>
          <w:p w14:paraId="449B66E5" w14:textId="77777777" w:rsidR="005C631C" w:rsidRDefault="005C631C" w:rsidP="005C631C">
            <w:pPr>
              <w:pStyle w:val="a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/>
                <w:bCs/>
                <w:color w:val="000000"/>
                <w:lang w:val="en-US" w:eastAsia="zh-CN"/>
              </w:rPr>
              <w:t>202</w:t>
            </w: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2年中国境内</w:t>
            </w:r>
            <w:r>
              <w:rPr>
                <w:rFonts w:hint="eastAsia"/>
                <w:lang w:eastAsia="zh-CN"/>
              </w:rPr>
              <w:t>乘用车底盘零部件</w:t>
            </w: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市场：</w:t>
            </w:r>
          </w:p>
          <w:p w14:paraId="18C73570" w14:textId="77777777" w:rsidR="005C631C" w:rsidRDefault="005C631C" w:rsidP="005C631C">
            <w:pPr>
              <w:pStyle w:val="a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lastRenderedPageBreak/>
              <w:t>本特勒：0</w:t>
            </w:r>
            <w:r>
              <w:rPr>
                <w:rFonts w:ascii="宋体" w:hAnsi="宋体" w:cs="宋体"/>
                <w:bCs/>
                <w:color w:val="000000"/>
                <w:lang w:val="en-US" w:eastAsia="zh-CN"/>
              </w:rPr>
              <w:t>-5%</w:t>
            </w:r>
          </w:p>
          <w:p w14:paraId="2D59BFCA" w14:textId="77777777" w:rsidR="005C631C" w:rsidRDefault="005C631C" w:rsidP="005C631C">
            <w:pPr>
              <w:pStyle w:val="a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highlight w:val="yellow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海纳川：0</w:t>
            </w:r>
            <w:r>
              <w:rPr>
                <w:rFonts w:ascii="宋体" w:hAnsi="宋体" w:cs="宋体"/>
                <w:bCs/>
                <w:color w:val="000000"/>
                <w:lang w:val="en-US" w:eastAsia="zh-CN"/>
              </w:rPr>
              <w:t xml:space="preserve">-5% </w:t>
            </w:r>
          </w:p>
          <w:p w14:paraId="48960411" w14:textId="43A70B6D" w:rsidR="001601B8" w:rsidRDefault="005C631C">
            <w:pPr>
              <w:pStyle w:val="a5"/>
              <w:adjustRightInd w:val="0"/>
              <w:snapToGrid w:val="0"/>
              <w:spacing w:after="0"/>
              <w:rPr>
                <w:rFonts w:ascii="宋体" w:hAnsi="宋体" w:cs="宋体"/>
                <w:lang w:val="en-US" w:eastAsia="zh-CN"/>
              </w:rPr>
            </w:pPr>
            <w:r>
              <w:rPr>
                <w:rFonts w:ascii="宋体" w:hAnsi="宋体" w:cs="宋体" w:hint="eastAsia"/>
                <w:lang w:val="en-US" w:eastAsia="zh-CN"/>
              </w:rPr>
              <w:t>双方合计：</w:t>
            </w:r>
            <w:r>
              <w:rPr>
                <w:rFonts w:ascii="宋体" w:hAnsi="宋体" w:cs="宋体"/>
                <w:lang w:val="en-US" w:eastAsia="zh-CN"/>
              </w:rPr>
              <w:t>0-5%</w:t>
            </w:r>
          </w:p>
          <w:p w14:paraId="553AFB3B" w14:textId="77777777" w:rsidR="00AA731E" w:rsidRDefault="00AA731E" w:rsidP="00AA731E">
            <w:pPr>
              <w:pStyle w:val="a5"/>
              <w:adjustRightInd w:val="0"/>
              <w:snapToGrid w:val="0"/>
              <w:spacing w:after="0"/>
              <w:rPr>
                <w:lang w:val="en-US" w:eastAsia="zh-CN"/>
              </w:rPr>
            </w:pPr>
            <w:r w:rsidRPr="00CF5A04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2022年中国境内</w:t>
            </w:r>
            <w:r>
              <w:rPr>
                <w:rFonts w:hint="eastAsia"/>
                <w:lang w:eastAsia="zh-CN"/>
              </w:rPr>
              <w:t>乘用车底盘模块组装服务</w:t>
            </w:r>
            <w:r>
              <w:rPr>
                <w:rFonts w:hint="eastAsia"/>
                <w:lang w:val="en-US" w:eastAsia="zh-CN"/>
              </w:rPr>
              <w:t>市场：</w:t>
            </w:r>
          </w:p>
          <w:p w14:paraId="48A1E076" w14:textId="77777777" w:rsidR="00AA731E" w:rsidRDefault="00AA731E" w:rsidP="00AA731E">
            <w:pPr>
              <w:pStyle w:val="a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本特勒：0</w:t>
            </w:r>
            <w:r>
              <w:rPr>
                <w:rFonts w:ascii="宋体" w:hAnsi="宋体" w:cs="宋体"/>
                <w:bCs/>
                <w:color w:val="000000"/>
                <w:lang w:val="en-US" w:eastAsia="zh-CN"/>
              </w:rPr>
              <w:t>-5%</w:t>
            </w:r>
          </w:p>
          <w:p w14:paraId="052CDD9F" w14:textId="77777777" w:rsidR="00AA731E" w:rsidRDefault="00AA731E" w:rsidP="00AA731E">
            <w:pPr>
              <w:pStyle w:val="a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highlight w:val="yellow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海纳川：0</w:t>
            </w:r>
            <w:r>
              <w:rPr>
                <w:rFonts w:ascii="宋体" w:hAnsi="宋体" w:cs="宋体"/>
                <w:bCs/>
                <w:color w:val="000000"/>
                <w:lang w:val="en-US" w:eastAsia="zh-CN"/>
              </w:rPr>
              <w:t xml:space="preserve">-5% </w:t>
            </w:r>
          </w:p>
          <w:p w14:paraId="6103F067" w14:textId="2367080D" w:rsidR="00AA731E" w:rsidRPr="00B602C4" w:rsidRDefault="00AA731E">
            <w:pPr>
              <w:pStyle w:val="a5"/>
              <w:adjustRightInd w:val="0"/>
              <w:snapToGrid w:val="0"/>
              <w:spacing w:after="0"/>
              <w:rPr>
                <w:rFonts w:ascii="宋体" w:hAnsi="宋体" w:cs="宋体"/>
                <w:lang w:val="en-US" w:eastAsia="zh-CN"/>
              </w:rPr>
            </w:pPr>
            <w:r>
              <w:rPr>
                <w:rFonts w:ascii="宋体" w:hAnsi="宋体" w:cs="宋体" w:hint="eastAsia"/>
                <w:lang w:val="en-US" w:eastAsia="zh-CN"/>
              </w:rPr>
              <w:t>双方合计：</w:t>
            </w:r>
            <w:r>
              <w:rPr>
                <w:rFonts w:ascii="宋体" w:hAnsi="宋体" w:cs="宋体"/>
                <w:lang w:val="en-US" w:eastAsia="zh-CN"/>
              </w:rPr>
              <w:t>0-5%</w:t>
            </w:r>
          </w:p>
          <w:p w14:paraId="3E26D43F" w14:textId="77777777" w:rsidR="001601B8" w:rsidRDefault="00000000">
            <w:pPr>
              <w:pStyle w:val="a5"/>
              <w:adjustRightInd w:val="0"/>
              <w:snapToGrid w:val="0"/>
              <w:spacing w:after="0"/>
              <w:rPr>
                <w:rFonts w:ascii="宋体" w:hAnsi="宋体" w:cs="宋体"/>
                <w:b/>
                <w:color w:val="000000"/>
                <w:lang w:eastAsia="zh-CN"/>
              </w:rPr>
            </w:pPr>
            <w:r>
              <w:rPr>
                <w:rFonts w:ascii="宋体" w:hAnsi="宋体" w:cs="宋体" w:hint="eastAsia"/>
                <w:b/>
                <w:color w:val="000000"/>
                <w:lang w:eastAsia="zh-CN"/>
              </w:rPr>
              <w:t>纵向关联：</w:t>
            </w:r>
          </w:p>
          <w:p w14:paraId="3CC06DCE" w14:textId="1A5B2C3D" w:rsidR="005C631C" w:rsidRDefault="00000000" w:rsidP="005C631C">
            <w:pPr>
              <w:pStyle w:val="a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上游：</w:t>
            </w:r>
            <w:r w:rsidR="005C631C">
              <w:rPr>
                <w:rFonts w:ascii="宋体" w:hAnsi="宋体" w:cs="宋体"/>
                <w:bCs/>
                <w:color w:val="000000"/>
                <w:lang w:val="en-US" w:eastAsia="zh-CN"/>
              </w:rPr>
              <w:t>202</w:t>
            </w:r>
            <w:r w:rsidR="005C631C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2年中国境内</w:t>
            </w:r>
            <w:r w:rsidR="005C631C">
              <w:rPr>
                <w:rFonts w:hint="eastAsia"/>
                <w:lang w:eastAsia="zh-CN"/>
              </w:rPr>
              <w:t>乘用车底盘零部件</w:t>
            </w:r>
            <w:r w:rsidR="005C631C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市场：</w:t>
            </w:r>
          </w:p>
          <w:p w14:paraId="51D5A00B" w14:textId="7BE0EAB2" w:rsidR="005C631C" w:rsidRPr="007B7B45" w:rsidRDefault="007B7B45" w:rsidP="005C631C">
            <w:pPr>
              <w:pStyle w:val="a5"/>
              <w:adjustRightInd w:val="0"/>
              <w:snapToGrid w:val="0"/>
              <w:spacing w:after="0"/>
              <w:rPr>
                <w:lang w:val="en-US" w:eastAsia="zh-CN"/>
              </w:rPr>
            </w:pPr>
            <w:r w:rsidRPr="007B7B45">
              <w:rPr>
                <w:rFonts w:hint="eastAsia"/>
                <w:lang w:val="en-US" w:eastAsia="zh-CN"/>
              </w:rPr>
              <w:t>本特勒：</w:t>
            </w:r>
            <w:r w:rsidR="005C631C" w:rsidRPr="007B7B45">
              <w:rPr>
                <w:rFonts w:hint="eastAsia"/>
                <w:lang w:val="en-US" w:eastAsia="zh-CN"/>
              </w:rPr>
              <w:t>如上所述</w:t>
            </w:r>
          </w:p>
          <w:p w14:paraId="34711765" w14:textId="77D285C0" w:rsidR="007B7B45" w:rsidRPr="007B7B45" w:rsidRDefault="007B7B45" w:rsidP="005C631C">
            <w:pPr>
              <w:pStyle w:val="a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7B7B45">
              <w:rPr>
                <w:rFonts w:ascii="宋体" w:hAnsi="宋体" w:hint="eastAsia"/>
                <w:bCs/>
                <w:color w:val="000000"/>
                <w:lang w:val="en-US" w:eastAsia="zh-CN"/>
              </w:rPr>
              <w:t>海纳川：如上所述</w:t>
            </w:r>
          </w:p>
          <w:p w14:paraId="61D9A557" w14:textId="77777777" w:rsidR="005C631C" w:rsidRDefault="00000000" w:rsidP="005C631C">
            <w:pPr>
              <w:pStyle w:val="a5"/>
              <w:adjustRightInd w:val="0"/>
              <w:snapToGrid w:val="0"/>
              <w:spacing w:after="0"/>
              <w:rPr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中游：</w:t>
            </w:r>
            <w:r w:rsidR="005C631C" w:rsidRPr="00B602C4">
              <w:rPr>
                <w:rFonts w:ascii="宋体" w:hAnsi="宋体" w:cs="宋体"/>
                <w:bCs/>
                <w:color w:val="000000"/>
                <w:lang w:val="en-US" w:eastAsia="zh-CN"/>
              </w:rPr>
              <w:t>2022</w:t>
            </w:r>
            <w:r w:rsidR="005C631C" w:rsidRPr="00B602C4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年中国境内</w:t>
            </w:r>
            <w:r w:rsidR="005C631C">
              <w:rPr>
                <w:rFonts w:hint="eastAsia"/>
                <w:lang w:eastAsia="zh-CN"/>
              </w:rPr>
              <w:t>乘用车底盘模块组装服务</w:t>
            </w:r>
            <w:r w:rsidR="005C631C">
              <w:rPr>
                <w:rFonts w:hint="eastAsia"/>
                <w:lang w:val="en-US" w:eastAsia="zh-CN"/>
              </w:rPr>
              <w:t>市场：</w:t>
            </w:r>
          </w:p>
          <w:p w14:paraId="362A5A09" w14:textId="0D346386" w:rsidR="005C631C" w:rsidRDefault="007B7B45" w:rsidP="005C631C">
            <w:pPr>
              <w:pStyle w:val="a5"/>
              <w:adjustRightInd w:val="0"/>
              <w:snapToGrid w:val="0"/>
              <w:spacing w:after="0"/>
              <w:rPr>
                <w:rFonts w:ascii="宋体" w:hAnsi="宋体" w:cs="宋体"/>
                <w:lang w:val="en-US" w:eastAsia="zh-CN"/>
              </w:rPr>
            </w:pPr>
            <w:r>
              <w:rPr>
                <w:rFonts w:ascii="宋体" w:hAnsi="宋体" w:cs="宋体" w:hint="eastAsia"/>
                <w:lang w:val="en-US" w:eastAsia="zh-CN"/>
              </w:rPr>
              <w:t>本特勒：</w:t>
            </w:r>
            <w:r w:rsidR="00AA731E">
              <w:rPr>
                <w:rFonts w:ascii="宋体" w:hAnsi="宋体" w:cs="宋体" w:hint="eastAsia"/>
                <w:lang w:val="en-US" w:eastAsia="zh-CN"/>
              </w:rPr>
              <w:t>如上所述</w:t>
            </w:r>
          </w:p>
          <w:p w14:paraId="3B76F81E" w14:textId="4C33AD48" w:rsidR="007B7B45" w:rsidRDefault="007B7B45" w:rsidP="005C631C">
            <w:pPr>
              <w:pStyle w:val="a5"/>
              <w:adjustRightInd w:val="0"/>
              <w:snapToGrid w:val="0"/>
              <w:spacing w:after="0"/>
              <w:rPr>
                <w:rFonts w:ascii="宋体" w:hAnsi="宋体" w:cs="宋体"/>
                <w:lang w:val="en-US" w:eastAsia="zh-CN"/>
              </w:rPr>
            </w:pPr>
            <w:r>
              <w:rPr>
                <w:rFonts w:ascii="宋体" w:hAnsi="宋体" w:cs="宋体" w:hint="eastAsia"/>
                <w:lang w:val="en-US" w:eastAsia="zh-CN"/>
              </w:rPr>
              <w:t>海纳川：如上所述</w:t>
            </w:r>
          </w:p>
          <w:p w14:paraId="3D97C6BE" w14:textId="2044C185" w:rsidR="001601B8" w:rsidRDefault="00000000">
            <w:pPr>
              <w:pStyle w:val="a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下游：</w:t>
            </w:r>
            <w:r>
              <w:rPr>
                <w:rFonts w:ascii="宋体" w:hAnsi="宋体" w:cs="宋体"/>
                <w:bCs/>
                <w:color w:val="000000"/>
                <w:lang w:val="en-US" w:eastAsia="zh-CN"/>
              </w:rPr>
              <w:t>202</w:t>
            </w: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2年中国境内</w:t>
            </w:r>
            <w:r>
              <w:rPr>
                <w:rFonts w:hint="eastAsia"/>
                <w:lang w:eastAsia="zh-CN"/>
              </w:rPr>
              <w:t>乘用车</w:t>
            </w: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市场：</w:t>
            </w:r>
          </w:p>
          <w:p w14:paraId="02B048A9" w14:textId="77777777" w:rsidR="001601B8" w:rsidRDefault="00000000">
            <w:pPr>
              <w:pStyle w:val="a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海纳川：0</w:t>
            </w:r>
            <w:r>
              <w:rPr>
                <w:rFonts w:ascii="宋体" w:hAnsi="宋体" w:cs="宋体"/>
                <w:bCs/>
                <w:color w:val="000000"/>
                <w:lang w:val="en-US" w:eastAsia="zh-CN"/>
              </w:rPr>
              <w:t xml:space="preserve">-5% </w:t>
            </w:r>
          </w:p>
        </w:tc>
      </w:tr>
    </w:tbl>
    <w:p w14:paraId="1498A807" w14:textId="77777777" w:rsidR="001601B8" w:rsidRDefault="001601B8">
      <w:pPr>
        <w:spacing w:line="20" w:lineRule="exact"/>
        <w:rPr>
          <w:rFonts w:ascii="Arial" w:hAnsi="Arial" w:cs="Arial"/>
          <w:color w:val="000000"/>
          <w:szCs w:val="21"/>
        </w:rPr>
      </w:pPr>
    </w:p>
    <w:sectPr w:rsidR="001601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DF72C5" w14:textId="77777777" w:rsidR="00765767" w:rsidRDefault="00765767" w:rsidP="00A56E5E">
      <w:r>
        <w:separator/>
      </w:r>
    </w:p>
  </w:endnote>
  <w:endnote w:type="continuationSeparator" w:id="0">
    <w:p w14:paraId="003DE08F" w14:textId="77777777" w:rsidR="00765767" w:rsidRDefault="00765767" w:rsidP="00A56E5E">
      <w:r>
        <w:continuationSeparator/>
      </w:r>
    </w:p>
  </w:endnote>
  <w:endnote w:type="continuationNotice" w:id="1">
    <w:p w14:paraId="06F93D4B" w14:textId="77777777" w:rsidR="00765767" w:rsidRDefault="0076576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34DA15" w14:textId="77777777" w:rsidR="00765767" w:rsidRDefault="00765767" w:rsidP="00A56E5E">
      <w:r>
        <w:separator/>
      </w:r>
    </w:p>
  </w:footnote>
  <w:footnote w:type="continuationSeparator" w:id="0">
    <w:p w14:paraId="054DE4E0" w14:textId="77777777" w:rsidR="00765767" w:rsidRDefault="00765767" w:rsidP="00A56E5E">
      <w:r>
        <w:continuationSeparator/>
      </w:r>
    </w:p>
  </w:footnote>
  <w:footnote w:type="continuationNotice" w:id="1">
    <w:p w14:paraId="1F654252" w14:textId="77777777" w:rsidR="00765767" w:rsidRDefault="00765767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trackRevisions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mE4MTgyZjNjNDRhYjk0NGFkYzMxZmM5NjBmZTA3NWYifQ=="/>
  </w:docVars>
  <w:rsids>
    <w:rsidRoot w:val="00F034D0"/>
    <w:rsid w:val="000451CF"/>
    <w:rsid w:val="00073110"/>
    <w:rsid w:val="000F165E"/>
    <w:rsid w:val="00113C92"/>
    <w:rsid w:val="001601B8"/>
    <w:rsid w:val="00196857"/>
    <w:rsid w:val="002A455E"/>
    <w:rsid w:val="002A6321"/>
    <w:rsid w:val="002B706D"/>
    <w:rsid w:val="002D5B4D"/>
    <w:rsid w:val="0034425A"/>
    <w:rsid w:val="003B39CB"/>
    <w:rsid w:val="00444F1E"/>
    <w:rsid w:val="00475CAA"/>
    <w:rsid w:val="00485168"/>
    <w:rsid w:val="00510F20"/>
    <w:rsid w:val="00536DF4"/>
    <w:rsid w:val="005624AC"/>
    <w:rsid w:val="005C631C"/>
    <w:rsid w:val="00671D64"/>
    <w:rsid w:val="00765767"/>
    <w:rsid w:val="007B7B45"/>
    <w:rsid w:val="0082530E"/>
    <w:rsid w:val="00862CD1"/>
    <w:rsid w:val="00882CD2"/>
    <w:rsid w:val="008F732F"/>
    <w:rsid w:val="009C0571"/>
    <w:rsid w:val="009C63B3"/>
    <w:rsid w:val="009E2C88"/>
    <w:rsid w:val="009E6D75"/>
    <w:rsid w:val="00A56E5E"/>
    <w:rsid w:val="00A6103F"/>
    <w:rsid w:val="00A66731"/>
    <w:rsid w:val="00A84519"/>
    <w:rsid w:val="00A9401A"/>
    <w:rsid w:val="00A9518A"/>
    <w:rsid w:val="00AA69CF"/>
    <w:rsid w:val="00AA731E"/>
    <w:rsid w:val="00B208EF"/>
    <w:rsid w:val="00B602C4"/>
    <w:rsid w:val="00BD36AC"/>
    <w:rsid w:val="00BE06D6"/>
    <w:rsid w:val="00BF3D19"/>
    <w:rsid w:val="00C35DD7"/>
    <w:rsid w:val="00C83823"/>
    <w:rsid w:val="00CE2826"/>
    <w:rsid w:val="00CF2121"/>
    <w:rsid w:val="00D97EEF"/>
    <w:rsid w:val="00E168B9"/>
    <w:rsid w:val="00E275CD"/>
    <w:rsid w:val="00E43C50"/>
    <w:rsid w:val="00EC1F7A"/>
    <w:rsid w:val="00EE4ABE"/>
    <w:rsid w:val="00F034D0"/>
    <w:rsid w:val="00FA11D9"/>
    <w:rsid w:val="10586E44"/>
    <w:rsid w:val="33332E1D"/>
    <w:rsid w:val="426A2ECF"/>
    <w:rsid w:val="46D8781E"/>
    <w:rsid w:val="4A3724C0"/>
    <w:rsid w:val="4F065920"/>
    <w:rsid w:val="514459D0"/>
    <w:rsid w:val="615223A1"/>
    <w:rsid w:val="618E5410"/>
    <w:rsid w:val="6EAE0F26"/>
    <w:rsid w:val="7A175EE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A3B4DF"/>
  <w15:docId w15:val="{4FFC26D4-C78C-4027-A94A-4FDC7D6F1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Body Text"/>
    <w:basedOn w:val="a"/>
    <w:link w:val="a6"/>
    <w:qFormat/>
    <w:pPr>
      <w:widowControl/>
      <w:spacing w:after="240"/>
    </w:pPr>
    <w:rPr>
      <w:rFonts w:ascii="Times New Roman" w:hAnsi="Times New Roman" w:cs="Simplified Arabic"/>
      <w:kern w:val="0"/>
      <w:sz w:val="24"/>
      <w:szCs w:val="24"/>
      <w:lang w:val="en-GB" w:eastAsia="en-GB" w:bidi="ar-AE"/>
    </w:rPr>
  </w:style>
  <w:style w:type="paragraph" w:styleId="a7">
    <w:name w:val="Balloon Text"/>
    <w:basedOn w:val="a"/>
    <w:link w:val="a8"/>
    <w:uiPriority w:val="99"/>
    <w:semiHidden/>
    <w:unhideWhenUsed/>
    <w:qFormat/>
    <w:rPr>
      <w:rFonts w:ascii="宋体"/>
      <w:sz w:val="18"/>
      <w:szCs w:val="18"/>
    </w:rPr>
  </w:style>
  <w:style w:type="paragraph" w:styleId="a9">
    <w:name w:val="footer"/>
    <w:basedOn w:val="a"/>
    <w:link w:val="aa"/>
    <w:uiPriority w:val="99"/>
    <w:unhideWhenUsed/>
    <w:qFormat/>
    <w:pPr>
      <w:tabs>
        <w:tab w:val="center" w:pos="4680"/>
        <w:tab w:val="right" w:pos="9360"/>
      </w:tabs>
    </w:pPr>
  </w:style>
  <w:style w:type="paragraph" w:styleId="ab">
    <w:name w:val="header"/>
    <w:basedOn w:val="a"/>
    <w:link w:val="ac"/>
    <w:uiPriority w:val="99"/>
    <w:unhideWhenUsed/>
    <w:qFormat/>
    <w:pPr>
      <w:tabs>
        <w:tab w:val="center" w:pos="4680"/>
        <w:tab w:val="right" w:pos="9360"/>
      </w:tabs>
    </w:pPr>
  </w:style>
  <w:style w:type="paragraph" w:styleId="ad">
    <w:name w:val="annotation subject"/>
    <w:basedOn w:val="a3"/>
    <w:next w:val="a3"/>
    <w:link w:val="ae"/>
    <w:uiPriority w:val="99"/>
    <w:semiHidden/>
    <w:unhideWhenUsed/>
    <w:qFormat/>
    <w:rPr>
      <w:b/>
      <w:bCs/>
    </w:rPr>
  </w:style>
  <w:style w:type="character" w:styleId="af">
    <w:name w:val="annotation reference"/>
    <w:basedOn w:val="a0"/>
    <w:uiPriority w:val="99"/>
    <w:semiHidden/>
    <w:unhideWhenUsed/>
    <w:qFormat/>
    <w:rPr>
      <w:sz w:val="21"/>
      <w:szCs w:val="21"/>
    </w:rPr>
  </w:style>
  <w:style w:type="paragraph" w:styleId="af0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semiHidden/>
    <w:qFormat/>
    <w:rPr>
      <w:rFonts w:ascii="Calibri" w:eastAsia="宋体" w:hAnsi="Calibri" w:cs="Times New Roman"/>
    </w:rPr>
  </w:style>
  <w:style w:type="character" w:customStyle="1" w:styleId="ae">
    <w:name w:val="批注主题 字符"/>
    <w:basedOn w:val="a4"/>
    <w:link w:val="ad"/>
    <w:uiPriority w:val="99"/>
    <w:semiHidden/>
    <w:qFormat/>
    <w:rPr>
      <w:rFonts w:ascii="Calibri" w:eastAsia="宋体" w:hAnsi="Calibri" w:cs="Times New Roman"/>
      <w:b/>
      <w:bCs/>
    </w:rPr>
  </w:style>
  <w:style w:type="paragraph" w:customStyle="1" w:styleId="1">
    <w:name w:val="修订1"/>
    <w:hidden/>
    <w:uiPriority w:val="99"/>
    <w:semiHidden/>
    <w:qFormat/>
    <w:rPr>
      <w:rFonts w:ascii="Calibri" w:hAnsi="Calibri"/>
      <w:kern w:val="2"/>
      <w:sz w:val="21"/>
      <w:szCs w:val="22"/>
    </w:rPr>
  </w:style>
  <w:style w:type="paragraph" w:customStyle="1" w:styleId="2">
    <w:name w:val="修订2"/>
    <w:hidden/>
    <w:uiPriority w:val="99"/>
    <w:semiHidden/>
    <w:qFormat/>
    <w:rPr>
      <w:rFonts w:ascii="Calibri" w:hAnsi="Calibri"/>
      <w:kern w:val="2"/>
      <w:sz w:val="21"/>
      <w:szCs w:val="22"/>
    </w:rPr>
  </w:style>
  <w:style w:type="character" w:customStyle="1" w:styleId="a8">
    <w:name w:val="批注框文本 字符"/>
    <w:basedOn w:val="a0"/>
    <w:link w:val="a7"/>
    <w:uiPriority w:val="99"/>
    <w:semiHidden/>
    <w:qFormat/>
    <w:rPr>
      <w:rFonts w:ascii="宋体" w:hAnsi="Calibri"/>
      <w:kern w:val="2"/>
      <w:sz w:val="18"/>
      <w:szCs w:val="18"/>
    </w:rPr>
  </w:style>
  <w:style w:type="character" w:customStyle="1" w:styleId="a6">
    <w:name w:val="正文文本 字符"/>
    <w:basedOn w:val="a0"/>
    <w:link w:val="a5"/>
    <w:qFormat/>
    <w:rPr>
      <w:rFonts w:cs="Simplified Arabic"/>
      <w:sz w:val="24"/>
      <w:szCs w:val="24"/>
      <w:lang w:val="en-GB" w:eastAsia="en-GB" w:bidi="ar-AE"/>
    </w:rPr>
  </w:style>
  <w:style w:type="character" w:customStyle="1" w:styleId="ac">
    <w:name w:val="页眉 字符"/>
    <w:basedOn w:val="a0"/>
    <w:link w:val="ab"/>
    <w:uiPriority w:val="99"/>
    <w:qFormat/>
    <w:rPr>
      <w:rFonts w:ascii="Calibri" w:hAnsi="Calibri"/>
      <w:kern w:val="2"/>
      <w:sz w:val="21"/>
      <w:szCs w:val="22"/>
    </w:rPr>
  </w:style>
  <w:style w:type="character" w:customStyle="1" w:styleId="aa">
    <w:name w:val="页脚 字符"/>
    <w:basedOn w:val="a0"/>
    <w:link w:val="a9"/>
    <w:uiPriority w:val="99"/>
    <w:qFormat/>
    <w:rPr>
      <w:rFonts w:ascii="Calibri" w:hAnsi="Calibri"/>
      <w:kern w:val="2"/>
      <w:sz w:val="21"/>
      <w:szCs w:val="22"/>
    </w:rPr>
  </w:style>
  <w:style w:type="paragraph" w:customStyle="1" w:styleId="3">
    <w:name w:val="修订3"/>
    <w:hidden/>
    <w:uiPriority w:val="99"/>
    <w:semiHidden/>
    <w:qFormat/>
    <w:rPr>
      <w:rFonts w:ascii="Calibri" w:hAnsi="Calibri"/>
      <w:kern w:val="2"/>
      <w:sz w:val="21"/>
      <w:szCs w:val="22"/>
    </w:rPr>
  </w:style>
  <w:style w:type="paragraph" w:styleId="af1">
    <w:name w:val="Revision"/>
    <w:hidden/>
    <w:uiPriority w:val="99"/>
    <w:unhideWhenUsed/>
    <w:rsid w:val="00D97EEF"/>
    <w:rPr>
      <w:rFonts w:ascii="Calibri" w:hAnsi="Calibr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167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guan guan</dc:creator>
  <cp:lastModifiedBy>XIE Xue</cp:lastModifiedBy>
  <cp:revision>7</cp:revision>
  <dcterms:created xsi:type="dcterms:W3CDTF">2023-06-27T01:44:00Z</dcterms:created>
  <dcterms:modified xsi:type="dcterms:W3CDTF">2023-06-28T02:48:00Z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45CAA74187C24E3AB39A5A85D771FEE9_13</vt:lpwstr>
  </property>
  <property fmtid="{D5CDD505-2E9C-101B-9397-08002B2CF9AE}" pid="3" name="KSOProductBuildVer">
    <vt:lpwstr>2052-11.1.0.14309</vt:lpwstr>
  </property>
</Properties>
</file>