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Times New Roman" w:eastAsia="黑体"/>
          <w:sz w:val="36"/>
          <w:szCs w:val="36"/>
        </w:rPr>
      </w:pPr>
      <w:r>
        <w:rPr>
          <w:rFonts w:hint="eastAsia" w:ascii="黑体" w:hAnsi="Times New Roman" w:eastAsia="黑体"/>
          <w:sz w:val="36"/>
          <w:szCs w:val="36"/>
        </w:rPr>
        <w:t>经营者集中简易案件公示表</w:t>
      </w:r>
    </w:p>
    <w:tbl>
      <w:tblPr>
        <w:tblStyle w:val="9"/>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jc w:val="center"/>
              <w:rPr>
                <w:rFonts w:ascii="宋体" w:hAnsi="宋体"/>
                <w:sz w:val="24"/>
                <w:szCs w:val="24"/>
              </w:rPr>
            </w:pPr>
            <w:r>
              <w:rPr>
                <w:rFonts w:ascii="宋体" w:hAnsi="宋体"/>
                <w:sz w:val="24"/>
                <w:szCs w:val="24"/>
              </w:rPr>
              <w:t>案件名称</w:t>
            </w:r>
          </w:p>
        </w:tc>
        <w:tc>
          <w:tcPr>
            <w:tcW w:w="6949" w:type="dxa"/>
            <w:gridSpan w:val="2"/>
            <w:shd w:val="clear" w:color="auto" w:fill="auto"/>
          </w:tcPr>
          <w:p>
            <w:pPr>
              <w:widowControl/>
              <w:snapToGrid w:val="0"/>
              <w:rPr>
                <w:rFonts w:ascii="宋体" w:hAnsi="宋体"/>
                <w:sz w:val="24"/>
                <w:szCs w:val="24"/>
              </w:rPr>
            </w:pPr>
            <w:r>
              <w:rPr>
                <w:rFonts w:hint="eastAsia" w:ascii="宋体" w:hAnsi="宋体"/>
                <w:sz w:val="24"/>
                <w:szCs w:val="24"/>
              </w:rPr>
              <w:t>山东金都国有资本投资集团有限公司收购宝鼎科技股份有限公司股权案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7" w:hRule="atLeast"/>
        </w:trPr>
        <w:tc>
          <w:tcPr>
            <w:tcW w:w="1809" w:type="dxa"/>
            <w:shd w:val="clear" w:color="auto" w:fill="D9D9D9"/>
            <w:vAlign w:val="center"/>
          </w:tcPr>
          <w:p>
            <w:pPr>
              <w:jc w:val="center"/>
              <w:rPr>
                <w:rFonts w:ascii="宋体" w:hAnsi="宋体"/>
                <w:sz w:val="24"/>
                <w:szCs w:val="24"/>
              </w:rPr>
            </w:pPr>
            <w:r>
              <w:rPr>
                <w:rFonts w:ascii="宋体" w:hAnsi="宋体"/>
                <w:sz w:val="24"/>
                <w:szCs w:val="24"/>
              </w:rPr>
              <w:t>交易概况（限200字内）</w:t>
            </w:r>
          </w:p>
        </w:tc>
        <w:tc>
          <w:tcPr>
            <w:tcW w:w="6949" w:type="dxa"/>
            <w:gridSpan w:val="2"/>
            <w:shd w:val="clear" w:color="auto" w:fill="auto"/>
          </w:tcPr>
          <w:p>
            <w:pPr>
              <w:widowControl/>
              <w:snapToGrid w:val="0"/>
              <w:jc w:val="left"/>
              <w:rPr>
                <w:rFonts w:ascii="宋体" w:hAnsi="宋体"/>
                <w:sz w:val="24"/>
                <w:szCs w:val="24"/>
              </w:rPr>
            </w:pPr>
            <w:r>
              <w:rPr>
                <w:rFonts w:hint="eastAsia" w:ascii="宋体" w:hAnsi="宋体"/>
                <w:sz w:val="24"/>
                <w:szCs w:val="24"/>
              </w:rPr>
              <w:t>山东金都国有资本投资集团有限公司（“</w:t>
            </w:r>
            <w:r>
              <w:rPr>
                <w:rFonts w:hint="eastAsia" w:ascii="宋体" w:hAnsi="宋体"/>
                <w:b/>
                <w:bCs/>
                <w:sz w:val="24"/>
                <w:szCs w:val="24"/>
              </w:rPr>
              <w:t>金都国投</w:t>
            </w:r>
            <w:r>
              <w:rPr>
                <w:rFonts w:hint="eastAsia" w:ascii="宋体" w:hAnsi="宋体"/>
                <w:sz w:val="24"/>
                <w:szCs w:val="24"/>
              </w:rPr>
              <w:t>”）与山东招金集团有限公司（“</w:t>
            </w:r>
            <w:r>
              <w:rPr>
                <w:rFonts w:hint="eastAsia" w:ascii="宋体" w:hAnsi="宋体"/>
                <w:b/>
                <w:bCs/>
                <w:sz w:val="24"/>
                <w:szCs w:val="24"/>
              </w:rPr>
              <w:t>招金集团</w:t>
            </w:r>
            <w:r>
              <w:rPr>
                <w:rFonts w:hint="eastAsia" w:ascii="宋体" w:hAnsi="宋体"/>
                <w:sz w:val="24"/>
                <w:szCs w:val="24"/>
              </w:rPr>
              <w:t>”）于2023年6月11日签署协议，约定金都国投收购宝鼎科技股份有限公司（“</w:t>
            </w:r>
            <w:r>
              <w:rPr>
                <w:rFonts w:hint="eastAsia" w:ascii="宋体" w:hAnsi="宋体"/>
                <w:b/>
                <w:bCs/>
                <w:sz w:val="24"/>
                <w:szCs w:val="24"/>
              </w:rPr>
              <w:t>宝鼎科技</w:t>
            </w:r>
            <w:r>
              <w:rPr>
                <w:rFonts w:ascii="宋体" w:hAnsi="宋体"/>
                <w:sz w:val="24"/>
                <w:szCs w:val="24"/>
              </w:rPr>
              <w:t>”）</w:t>
            </w:r>
            <w:r>
              <w:rPr>
                <w:rFonts w:hint="eastAsia" w:ascii="宋体" w:hAnsi="宋体"/>
                <w:sz w:val="24"/>
                <w:szCs w:val="24"/>
              </w:rPr>
              <w:t>26.64%的股份。宝鼎科技主要从事大型锻件的制造销售、铜箔、覆铜板的生产销售。交易前，招金集团持有宝鼎科技3</w:t>
            </w:r>
            <w:r>
              <w:rPr>
                <w:rFonts w:ascii="宋体" w:hAnsi="宋体"/>
                <w:sz w:val="24"/>
                <w:szCs w:val="24"/>
              </w:rPr>
              <w:t>6.01%</w:t>
            </w:r>
            <w:r>
              <w:rPr>
                <w:rFonts w:hint="eastAsia" w:ascii="宋体" w:hAnsi="宋体"/>
                <w:sz w:val="24"/>
                <w:szCs w:val="24"/>
              </w:rPr>
              <w:t>的股份，单独控制宝鼎科技。交易后，金都国投将持有宝鼎科技2</w:t>
            </w:r>
            <w:r>
              <w:rPr>
                <w:rFonts w:ascii="宋体" w:hAnsi="宋体"/>
                <w:sz w:val="24"/>
                <w:szCs w:val="24"/>
              </w:rPr>
              <w:t>6.64%</w:t>
            </w:r>
            <w:r>
              <w:rPr>
                <w:rFonts w:hint="eastAsia" w:ascii="宋体" w:hAnsi="宋体"/>
                <w:sz w:val="24"/>
                <w:szCs w:val="24"/>
              </w:rPr>
              <w:t>的股份，单独控制宝鼎科技。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1" w:hRule="atLeast"/>
        </w:trPr>
        <w:tc>
          <w:tcPr>
            <w:tcW w:w="1809" w:type="dxa"/>
            <w:vMerge w:val="restart"/>
            <w:shd w:val="clear" w:color="auto" w:fill="D9D9D9"/>
            <w:vAlign w:val="center"/>
          </w:tcPr>
          <w:p>
            <w:pPr>
              <w:jc w:val="center"/>
              <w:rPr>
                <w:rFonts w:ascii="宋体" w:hAnsi="宋体"/>
                <w:sz w:val="24"/>
                <w:szCs w:val="24"/>
              </w:rPr>
            </w:pPr>
            <w:r>
              <w:rPr>
                <w:rFonts w:ascii="宋体" w:hAnsi="宋体"/>
                <w:sz w:val="24"/>
                <w:szCs w:val="24"/>
              </w:rPr>
              <w:t>参与集中的经营者简介</w:t>
            </w:r>
          </w:p>
        </w:tc>
        <w:tc>
          <w:tcPr>
            <w:tcW w:w="1796" w:type="dxa"/>
            <w:shd w:val="clear" w:color="auto" w:fill="auto"/>
            <w:vAlign w:val="center"/>
          </w:tcPr>
          <w:p>
            <w:pPr>
              <w:jc w:val="left"/>
              <w:rPr>
                <w:rFonts w:ascii="宋体" w:hAnsi="宋体"/>
                <w:sz w:val="24"/>
                <w:szCs w:val="24"/>
              </w:rPr>
            </w:pPr>
            <w:r>
              <w:rPr>
                <w:rFonts w:hint="eastAsia" w:ascii="宋体" w:hAnsi="宋体"/>
                <w:sz w:val="24"/>
                <w:szCs w:val="24"/>
              </w:rPr>
              <w:t>1.金都国投</w:t>
            </w:r>
          </w:p>
        </w:tc>
        <w:tc>
          <w:tcPr>
            <w:tcW w:w="5153" w:type="dxa"/>
            <w:shd w:val="clear" w:color="auto" w:fill="auto"/>
          </w:tcPr>
          <w:p>
            <w:pPr>
              <w:widowControl/>
              <w:snapToGrid w:val="0"/>
              <w:rPr>
                <w:rFonts w:ascii="宋体" w:hAnsi="宋体"/>
                <w:sz w:val="24"/>
                <w:szCs w:val="24"/>
              </w:rPr>
            </w:pPr>
            <w:r>
              <w:rPr>
                <w:rFonts w:hint="eastAsia" w:ascii="宋体" w:hAnsi="宋体"/>
                <w:sz w:val="24"/>
                <w:szCs w:val="24"/>
              </w:rPr>
              <w:t>金都国投于20</w:t>
            </w:r>
            <w:r>
              <w:rPr>
                <w:rFonts w:ascii="宋体" w:hAnsi="宋体"/>
                <w:sz w:val="24"/>
                <w:szCs w:val="24"/>
              </w:rPr>
              <w:t>21</w:t>
            </w:r>
            <w:r>
              <w:rPr>
                <w:rFonts w:hint="eastAsia" w:ascii="宋体" w:hAnsi="宋体"/>
                <w:sz w:val="24"/>
                <w:szCs w:val="24"/>
              </w:rPr>
              <w:t>年</w:t>
            </w:r>
            <w:r>
              <w:rPr>
                <w:rFonts w:ascii="宋体" w:hAnsi="宋体"/>
                <w:sz w:val="24"/>
                <w:szCs w:val="24"/>
              </w:rPr>
              <w:t>9</w:t>
            </w:r>
            <w:r>
              <w:rPr>
                <w:rFonts w:hint="eastAsia" w:ascii="宋体" w:hAnsi="宋体"/>
                <w:sz w:val="24"/>
                <w:szCs w:val="24"/>
              </w:rPr>
              <w:t>月成立于山东省</w:t>
            </w:r>
            <w:r>
              <w:rPr>
                <w:rFonts w:hint="eastAsia" w:ascii="宋体" w:hAnsi="宋体"/>
                <w:sz w:val="24"/>
                <w:szCs w:val="24"/>
                <w:lang w:eastAsia="zh-CN"/>
              </w:rPr>
              <w:t>招远市</w:t>
            </w:r>
            <w:r>
              <w:rPr>
                <w:rFonts w:hint="eastAsia" w:ascii="宋体" w:hAnsi="宋体"/>
                <w:sz w:val="24"/>
                <w:szCs w:val="24"/>
              </w:rPr>
              <w:t>，主要从事国有资产运营业务，其投资企业主要从事黄金采选冶、金属冶炼、基金管理等业务。</w:t>
            </w:r>
          </w:p>
          <w:p>
            <w:pPr>
              <w:widowControl/>
              <w:snapToGrid w:val="0"/>
              <w:rPr>
                <w:rFonts w:ascii="宋体" w:hAnsi="宋体"/>
                <w:sz w:val="24"/>
                <w:szCs w:val="24"/>
              </w:rPr>
            </w:pPr>
            <w:r>
              <w:rPr>
                <w:rFonts w:hint="eastAsia" w:ascii="宋体" w:hAnsi="宋体"/>
                <w:sz w:val="24"/>
                <w:szCs w:val="24"/>
              </w:rPr>
              <w:t>金都国投是招远市国资局下属企业。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809" w:type="dxa"/>
            <w:vMerge w:val="continue"/>
            <w:shd w:val="clear" w:color="auto" w:fill="D9D9D9"/>
            <w:vAlign w:val="center"/>
          </w:tcPr>
          <w:p>
            <w:pPr>
              <w:jc w:val="center"/>
              <w:rPr>
                <w:rFonts w:ascii="宋体" w:hAnsi="宋体"/>
                <w:sz w:val="24"/>
                <w:szCs w:val="24"/>
              </w:rPr>
            </w:pPr>
          </w:p>
        </w:tc>
        <w:tc>
          <w:tcPr>
            <w:tcW w:w="1796" w:type="dxa"/>
            <w:shd w:val="clear" w:color="auto" w:fill="auto"/>
            <w:vAlign w:val="center"/>
          </w:tcPr>
          <w:p>
            <w:pPr>
              <w:jc w:val="left"/>
              <w:rPr>
                <w:rFonts w:ascii="宋体" w:hAnsi="宋体"/>
                <w:sz w:val="24"/>
                <w:szCs w:val="24"/>
              </w:rPr>
            </w:pPr>
            <w:r>
              <w:rPr>
                <w:rFonts w:hint="eastAsia" w:ascii="宋体" w:hAnsi="宋体"/>
                <w:sz w:val="24"/>
                <w:szCs w:val="24"/>
              </w:rPr>
              <w:t>2.宝鼎科技</w:t>
            </w:r>
          </w:p>
        </w:tc>
        <w:tc>
          <w:tcPr>
            <w:tcW w:w="5153" w:type="dxa"/>
            <w:shd w:val="clear" w:color="auto" w:fill="auto"/>
          </w:tcPr>
          <w:p>
            <w:pPr>
              <w:widowControl/>
              <w:snapToGrid w:val="0"/>
              <w:jc w:val="left"/>
              <w:rPr>
                <w:rFonts w:ascii="宋体" w:hAnsi="宋体"/>
                <w:sz w:val="24"/>
                <w:szCs w:val="24"/>
              </w:rPr>
            </w:pPr>
            <w:r>
              <w:rPr>
                <w:rFonts w:hint="eastAsia" w:ascii="宋体" w:hAnsi="宋体"/>
                <w:sz w:val="24"/>
                <w:szCs w:val="24"/>
              </w:rPr>
              <w:t>宝鼎科技于1</w:t>
            </w:r>
            <w:r>
              <w:rPr>
                <w:rFonts w:ascii="宋体" w:hAnsi="宋体"/>
                <w:sz w:val="24"/>
                <w:szCs w:val="24"/>
              </w:rPr>
              <w:t>999</w:t>
            </w:r>
            <w:r>
              <w:rPr>
                <w:rFonts w:hint="eastAsia" w:ascii="宋体" w:hAnsi="宋体"/>
                <w:sz w:val="24"/>
                <w:szCs w:val="24"/>
              </w:rPr>
              <w:t>年3月成立于浙江省</w:t>
            </w:r>
            <w:r>
              <w:rPr>
                <w:rFonts w:hint="eastAsia" w:ascii="宋体" w:hAnsi="宋体"/>
                <w:sz w:val="24"/>
                <w:szCs w:val="24"/>
                <w:lang w:eastAsia="zh-CN"/>
              </w:rPr>
              <w:t>杭州市</w:t>
            </w:r>
            <w:bookmarkStart w:id="0" w:name="_GoBack"/>
            <w:bookmarkEnd w:id="0"/>
            <w:r>
              <w:rPr>
                <w:rFonts w:hint="eastAsia" w:ascii="宋体" w:hAnsi="宋体"/>
                <w:sz w:val="24"/>
                <w:szCs w:val="24"/>
              </w:rPr>
              <w:t>，为深交所上市公司，主要从事大型锻件的制造销售、铜箔、覆铜板的生产销售。</w:t>
            </w:r>
          </w:p>
          <w:p>
            <w:pPr>
              <w:widowControl/>
              <w:snapToGrid w:val="0"/>
              <w:rPr>
                <w:rFonts w:ascii="宋体" w:hAnsi="宋体"/>
                <w:sz w:val="24"/>
                <w:szCs w:val="24"/>
              </w:rPr>
            </w:pPr>
            <w:r>
              <w:rPr>
                <w:rFonts w:hint="eastAsia" w:ascii="宋体" w:hAnsi="宋体"/>
                <w:sz w:val="24"/>
                <w:szCs w:val="24"/>
              </w:rPr>
              <w:t>宝鼎科技的最终控制人为招金集团，主要业务为黄金矿业、黄金交易及深加工、高新技术产业及金融业。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jc w:val="center"/>
              <w:rPr>
                <w:rFonts w:ascii="宋体" w:hAnsi="宋体"/>
                <w:sz w:val="24"/>
                <w:szCs w:val="24"/>
              </w:rPr>
            </w:pPr>
            <w:r>
              <w:rPr>
                <w:rFonts w:ascii="宋体" w:hAnsi="宋体"/>
                <w:sz w:val="24"/>
                <w:szCs w:val="24"/>
              </w:rPr>
              <w:t>简易案件理由（可以单选，也可以多选）</w:t>
            </w:r>
          </w:p>
        </w:tc>
        <w:tc>
          <w:tcPr>
            <w:tcW w:w="6949" w:type="dxa"/>
            <w:gridSpan w:val="2"/>
            <w:shd w:val="clear" w:color="auto" w:fill="auto"/>
          </w:tcPr>
          <w:p>
            <w:pPr>
              <w:rPr>
                <w:rFonts w:ascii="宋体" w:hAnsi="宋体"/>
                <w:sz w:val="24"/>
                <w:szCs w:val="24"/>
              </w:rPr>
            </w:pPr>
            <w:r>
              <w:rPr>
                <w:rFonts w:ascii="宋体" w:hAnsi="宋体"/>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rPr>
                <w:rFonts w:ascii="宋体" w:hAnsi="宋体"/>
                <w:sz w:val="24"/>
                <w:szCs w:val="24"/>
              </w:rPr>
            </w:pPr>
          </w:p>
        </w:tc>
        <w:tc>
          <w:tcPr>
            <w:tcW w:w="6949" w:type="dxa"/>
            <w:gridSpan w:val="2"/>
            <w:shd w:val="clear" w:color="auto" w:fill="auto"/>
          </w:tcPr>
          <w:p>
            <w:pPr>
              <w:rPr>
                <w:rFonts w:ascii="宋体" w:hAnsi="宋体"/>
                <w:sz w:val="24"/>
                <w:szCs w:val="24"/>
              </w:rPr>
            </w:pPr>
            <w:r>
              <w:rPr>
                <w:rFonts w:ascii="宋体" w:hAnsi="宋体"/>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rPr>
                <w:rFonts w:ascii="宋体" w:hAnsi="宋体"/>
                <w:sz w:val="24"/>
                <w:szCs w:val="24"/>
              </w:rPr>
            </w:pPr>
          </w:p>
        </w:tc>
        <w:tc>
          <w:tcPr>
            <w:tcW w:w="6949" w:type="dxa"/>
            <w:gridSpan w:val="2"/>
            <w:shd w:val="clear" w:color="auto" w:fill="auto"/>
          </w:tcPr>
          <w:p>
            <w:pPr>
              <w:rPr>
                <w:rFonts w:ascii="宋体" w:hAnsi="宋体"/>
                <w:sz w:val="24"/>
                <w:szCs w:val="24"/>
              </w:rPr>
            </w:pPr>
            <w:r>
              <w:rPr>
                <w:rFonts w:ascii="宋体" w:hAnsi="宋体"/>
                <w:sz w:val="24"/>
                <w:szCs w:val="24"/>
              </w:rPr>
              <w:sym w:font="Wingdings" w:char="F0FE"/>
            </w:r>
            <w:r>
              <w:rPr>
                <w:rFonts w:ascii="宋体" w:hAnsi="宋体"/>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rPr>
                <w:rFonts w:ascii="宋体" w:hAnsi="宋体"/>
                <w:sz w:val="24"/>
                <w:szCs w:val="24"/>
              </w:rPr>
            </w:pPr>
          </w:p>
        </w:tc>
        <w:tc>
          <w:tcPr>
            <w:tcW w:w="6949" w:type="dxa"/>
            <w:gridSpan w:val="2"/>
            <w:shd w:val="clear" w:color="auto" w:fill="auto"/>
          </w:tcPr>
          <w:p>
            <w:pPr>
              <w:rPr>
                <w:rFonts w:ascii="宋体" w:hAnsi="宋体"/>
                <w:sz w:val="24"/>
                <w:szCs w:val="24"/>
              </w:rPr>
            </w:pPr>
            <w:r>
              <w:rPr>
                <w:rFonts w:ascii="宋体" w:hAnsi="宋体"/>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rPr>
                <w:rFonts w:ascii="宋体" w:hAnsi="宋体"/>
                <w:sz w:val="24"/>
                <w:szCs w:val="24"/>
              </w:rPr>
            </w:pPr>
          </w:p>
        </w:tc>
        <w:tc>
          <w:tcPr>
            <w:tcW w:w="6949" w:type="dxa"/>
            <w:gridSpan w:val="2"/>
            <w:shd w:val="clear" w:color="auto" w:fill="auto"/>
          </w:tcPr>
          <w:p>
            <w:pPr>
              <w:rPr>
                <w:rFonts w:ascii="宋体" w:hAnsi="宋体"/>
                <w:sz w:val="24"/>
                <w:szCs w:val="24"/>
              </w:rPr>
            </w:pPr>
            <w:r>
              <w:rPr>
                <w:rFonts w:ascii="宋体" w:hAnsi="宋体"/>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rPr>
                <w:rFonts w:ascii="宋体" w:hAnsi="宋体"/>
                <w:sz w:val="24"/>
                <w:szCs w:val="24"/>
              </w:rPr>
            </w:pPr>
          </w:p>
        </w:tc>
        <w:tc>
          <w:tcPr>
            <w:tcW w:w="6949" w:type="dxa"/>
            <w:gridSpan w:val="2"/>
            <w:shd w:val="clear" w:color="auto" w:fill="auto"/>
          </w:tcPr>
          <w:p>
            <w:pPr>
              <w:rPr>
                <w:rFonts w:ascii="宋体" w:hAnsi="宋体"/>
                <w:sz w:val="24"/>
                <w:szCs w:val="24"/>
              </w:rPr>
            </w:pPr>
            <w:r>
              <w:rPr>
                <w:rFonts w:ascii="宋体" w:hAnsi="宋体"/>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4" w:hRule="atLeast"/>
        </w:trPr>
        <w:tc>
          <w:tcPr>
            <w:tcW w:w="1809" w:type="dxa"/>
            <w:shd w:val="clear" w:color="auto" w:fill="D9D9D9"/>
          </w:tcPr>
          <w:p>
            <w:pPr>
              <w:rPr>
                <w:rFonts w:ascii="宋体" w:hAnsi="宋体"/>
                <w:sz w:val="24"/>
                <w:szCs w:val="24"/>
              </w:rPr>
            </w:pPr>
            <w:r>
              <w:rPr>
                <w:rFonts w:ascii="宋体" w:hAnsi="宋体"/>
                <w:sz w:val="24"/>
                <w:szCs w:val="24"/>
              </w:rPr>
              <w:t>备注</w:t>
            </w:r>
          </w:p>
        </w:tc>
        <w:tc>
          <w:tcPr>
            <w:tcW w:w="6949" w:type="dxa"/>
            <w:gridSpan w:val="2"/>
            <w:shd w:val="clear" w:color="auto" w:fill="auto"/>
          </w:tcPr>
          <w:p>
            <w:pPr>
              <w:rPr>
                <w:rFonts w:ascii="宋体" w:hAnsi="宋体"/>
                <w:b/>
                <w:bCs/>
                <w:sz w:val="24"/>
                <w:szCs w:val="24"/>
              </w:rPr>
            </w:pPr>
            <w:r>
              <w:rPr>
                <w:rFonts w:hint="eastAsia" w:ascii="宋体" w:hAnsi="宋体"/>
                <w:b/>
                <w:bCs/>
                <w:sz w:val="24"/>
                <w:szCs w:val="24"/>
              </w:rPr>
              <w:t>混合集中：</w:t>
            </w:r>
          </w:p>
          <w:p>
            <w:pPr>
              <w:rPr>
                <w:rFonts w:ascii="宋体" w:hAnsi="宋体"/>
                <w:sz w:val="24"/>
                <w:szCs w:val="24"/>
              </w:rPr>
            </w:pPr>
            <w:r>
              <w:rPr>
                <w:rFonts w:hint="eastAsia" w:ascii="宋体" w:hAnsi="宋体"/>
                <w:sz w:val="24"/>
                <w:szCs w:val="24"/>
              </w:rPr>
              <w:t>2</w:t>
            </w:r>
            <w:r>
              <w:rPr>
                <w:rFonts w:ascii="宋体" w:hAnsi="宋体"/>
                <w:sz w:val="24"/>
                <w:szCs w:val="24"/>
              </w:rPr>
              <w:t>022</w:t>
            </w:r>
            <w:r>
              <w:rPr>
                <w:rFonts w:hint="eastAsia" w:ascii="宋体" w:hAnsi="宋体"/>
                <w:sz w:val="24"/>
                <w:szCs w:val="24"/>
              </w:rPr>
              <w:t>年全球电子铜箔市场</w:t>
            </w:r>
          </w:p>
          <w:p>
            <w:pPr>
              <w:rPr>
                <w:rFonts w:ascii="宋体" w:hAnsi="宋体"/>
                <w:sz w:val="24"/>
                <w:szCs w:val="24"/>
              </w:rPr>
            </w:pPr>
            <w:r>
              <w:rPr>
                <w:rFonts w:hint="eastAsia" w:ascii="宋体" w:hAnsi="宋体"/>
                <w:sz w:val="24"/>
                <w:szCs w:val="24"/>
              </w:rPr>
              <w:t>宝鼎科技：0</w:t>
            </w:r>
            <w:r>
              <w:rPr>
                <w:rFonts w:ascii="宋体" w:hAnsi="宋体"/>
                <w:sz w:val="24"/>
                <w:szCs w:val="24"/>
              </w:rPr>
              <w:t>-5%</w:t>
            </w:r>
          </w:p>
          <w:p>
            <w:pPr>
              <w:rPr>
                <w:rFonts w:ascii="宋体" w:hAnsi="宋体"/>
                <w:sz w:val="24"/>
                <w:szCs w:val="24"/>
              </w:rPr>
            </w:pPr>
            <w:r>
              <w:rPr>
                <w:rFonts w:hint="eastAsia" w:ascii="宋体" w:hAnsi="宋体"/>
                <w:sz w:val="24"/>
                <w:szCs w:val="24"/>
              </w:rPr>
              <w:t>2</w:t>
            </w:r>
            <w:r>
              <w:rPr>
                <w:rFonts w:ascii="宋体" w:hAnsi="宋体"/>
                <w:sz w:val="24"/>
                <w:szCs w:val="24"/>
              </w:rPr>
              <w:t>021</w:t>
            </w:r>
            <w:r>
              <w:rPr>
                <w:rFonts w:hint="eastAsia" w:ascii="宋体" w:hAnsi="宋体"/>
                <w:sz w:val="24"/>
                <w:szCs w:val="24"/>
              </w:rPr>
              <w:t>年中国境内覆铜板市场</w:t>
            </w:r>
          </w:p>
          <w:p>
            <w:pPr>
              <w:rPr>
                <w:rFonts w:ascii="宋体" w:hAnsi="宋体"/>
                <w:sz w:val="24"/>
                <w:szCs w:val="24"/>
              </w:rPr>
            </w:pPr>
            <w:r>
              <w:rPr>
                <w:rFonts w:hint="eastAsia" w:ascii="宋体" w:hAnsi="宋体"/>
                <w:sz w:val="24"/>
                <w:szCs w:val="24"/>
              </w:rPr>
              <w:t>宝鼎科技：0</w:t>
            </w:r>
            <w:r>
              <w:rPr>
                <w:rFonts w:ascii="宋体" w:hAnsi="宋体"/>
                <w:sz w:val="24"/>
                <w:szCs w:val="24"/>
              </w:rPr>
              <w:t>-5%</w:t>
            </w:r>
          </w:p>
          <w:p>
            <w:pPr>
              <w:rPr>
                <w:rFonts w:ascii="宋体" w:hAnsi="宋体"/>
                <w:sz w:val="24"/>
                <w:szCs w:val="24"/>
              </w:rPr>
            </w:pPr>
            <w:r>
              <w:rPr>
                <w:rFonts w:hint="eastAsia" w:ascii="宋体" w:hAnsi="宋体"/>
                <w:sz w:val="24"/>
                <w:szCs w:val="24"/>
              </w:rPr>
              <w:t>2</w:t>
            </w:r>
            <w:r>
              <w:rPr>
                <w:rFonts w:ascii="宋体" w:hAnsi="宋体"/>
                <w:sz w:val="24"/>
                <w:szCs w:val="24"/>
              </w:rPr>
              <w:t>022</w:t>
            </w:r>
            <w:r>
              <w:rPr>
                <w:rFonts w:hint="eastAsia" w:ascii="宋体" w:hAnsi="宋体"/>
                <w:sz w:val="24"/>
                <w:szCs w:val="24"/>
              </w:rPr>
              <w:t>年中国境内大型锻件市场</w:t>
            </w:r>
          </w:p>
          <w:p>
            <w:pPr>
              <w:rPr>
                <w:rFonts w:ascii="宋体" w:hAnsi="宋体"/>
                <w:sz w:val="24"/>
                <w:szCs w:val="24"/>
              </w:rPr>
            </w:pPr>
            <w:r>
              <w:rPr>
                <w:rFonts w:hint="eastAsia" w:ascii="宋体" w:hAnsi="宋体"/>
                <w:sz w:val="24"/>
                <w:szCs w:val="24"/>
              </w:rPr>
              <w:t>宝鼎科技：</w:t>
            </w:r>
            <w:r>
              <w:rPr>
                <w:rFonts w:ascii="宋体" w:hAnsi="宋体"/>
                <w:sz w:val="24"/>
                <w:szCs w:val="24"/>
              </w:rPr>
              <w:t>0-5%</w:t>
            </w:r>
          </w:p>
        </w:tc>
      </w:tr>
    </w:tbl>
    <w:p>
      <w:pPr>
        <w:rPr>
          <w:rFonts w:ascii="楷体_GB2312" w:hAnsi="Times New Roman" w:eastAsia="楷体_GB2312"/>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PMingLiU">
    <w:altName w:val="Noto Sans CJK SC"/>
    <w:panose1 w:val="02010601000101010101"/>
    <w:charset w:val="88"/>
    <w:family w:val="roman"/>
    <w:pitch w:val="default"/>
    <w:sig w:usb0="00000000" w:usb1="00000000" w:usb2="00000016" w:usb3="00000000" w:csb0="00100001" w:csb1="00000000"/>
  </w:font>
  <w:font w:name="楷体_GB2312">
    <w:panose1 w:val="02010609030101010101"/>
    <w:charset w:val="86"/>
    <w:family w:val="modern"/>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7D4C"/>
    <w:rsid w:val="0001750B"/>
    <w:rsid w:val="000216E6"/>
    <w:rsid w:val="00024E42"/>
    <w:rsid w:val="00027835"/>
    <w:rsid w:val="00037588"/>
    <w:rsid w:val="000551BC"/>
    <w:rsid w:val="0005594E"/>
    <w:rsid w:val="00061352"/>
    <w:rsid w:val="00067565"/>
    <w:rsid w:val="0007152A"/>
    <w:rsid w:val="000735EB"/>
    <w:rsid w:val="00082C02"/>
    <w:rsid w:val="00090A0D"/>
    <w:rsid w:val="0009158B"/>
    <w:rsid w:val="00094095"/>
    <w:rsid w:val="000A23E3"/>
    <w:rsid w:val="000A3CA7"/>
    <w:rsid w:val="000A77A5"/>
    <w:rsid w:val="000B6A96"/>
    <w:rsid w:val="000D6356"/>
    <w:rsid w:val="000E342A"/>
    <w:rsid w:val="000E4791"/>
    <w:rsid w:val="000E6116"/>
    <w:rsid w:val="000E7FC9"/>
    <w:rsid w:val="000F306A"/>
    <w:rsid w:val="000F3F86"/>
    <w:rsid w:val="000F4942"/>
    <w:rsid w:val="000F6544"/>
    <w:rsid w:val="00100B60"/>
    <w:rsid w:val="00101176"/>
    <w:rsid w:val="00113543"/>
    <w:rsid w:val="00117B9E"/>
    <w:rsid w:val="00124597"/>
    <w:rsid w:val="001320E7"/>
    <w:rsid w:val="0019247E"/>
    <w:rsid w:val="001A0880"/>
    <w:rsid w:val="001A37FC"/>
    <w:rsid w:val="001A6258"/>
    <w:rsid w:val="001B5F65"/>
    <w:rsid w:val="001C1B23"/>
    <w:rsid w:val="001C3AD5"/>
    <w:rsid w:val="0020313A"/>
    <w:rsid w:val="00210BC9"/>
    <w:rsid w:val="002128F6"/>
    <w:rsid w:val="002158DC"/>
    <w:rsid w:val="002213B3"/>
    <w:rsid w:val="002269DB"/>
    <w:rsid w:val="00233F8C"/>
    <w:rsid w:val="0024218A"/>
    <w:rsid w:val="00245776"/>
    <w:rsid w:val="0025240B"/>
    <w:rsid w:val="00254982"/>
    <w:rsid w:val="002608F8"/>
    <w:rsid w:val="00262658"/>
    <w:rsid w:val="0027100D"/>
    <w:rsid w:val="00284BCD"/>
    <w:rsid w:val="00297506"/>
    <w:rsid w:val="002B397C"/>
    <w:rsid w:val="002C338F"/>
    <w:rsid w:val="002D54A4"/>
    <w:rsid w:val="002E0740"/>
    <w:rsid w:val="002E1C1C"/>
    <w:rsid w:val="002E259C"/>
    <w:rsid w:val="002E2C9F"/>
    <w:rsid w:val="002E720A"/>
    <w:rsid w:val="002F2D60"/>
    <w:rsid w:val="002F3A72"/>
    <w:rsid w:val="002F3C77"/>
    <w:rsid w:val="002F724B"/>
    <w:rsid w:val="00300BB7"/>
    <w:rsid w:val="00305305"/>
    <w:rsid w:val="00306FB0"/>
    <w:rsid w:val="00307976"/>
    <w:rsid w:val="0031093F"/>
    <w:rsid w:val="00311210"/>
    <w:rsid w:val="003145BC"/>
    <w:rsid w:val="003170BD"/>
    <w:rsid w:val="00320D56"/>
    <w:rsid w:val="00324AD4"/>
    <w:rsid w:val="003340EB"/>
    <w:rsid w:val="00340ACD"/>
    <w:rsid w:val="00350D45"/>
    <w:rsid w:val="00355D31"/>
    <w:rsid w:val="0037036A"/>
    <w:rsid w:val="00371BC9"/>
    <w:rsid w:val="00384238"/>
    <w:rsid w:val="0038495A"/>
    <w:rsid w:val="00394C36"/>
    <w:rsid w:val="003A16B4"/>
    <w:rsid w:val="003B0215"/>
    <w:rsid w:val="003B6581"/>
    <w:rsid w:val="003B78F4"/>
    <w:rsid w:val="003C0156"/>
    <w:rsid w:val="003E6972"/>
    <w:rsid w:val="003F170C"/>
    <w:rsid w:val="004030E1"/>
    <w:rsid w:val="0040319E"/>
    <w:rsid w:val="0042013C"/>
    <w:rsid w:val="00420292"/>
    <w:rsid w:val="004261DB"/>
    <w:rsid w:val="004316EF"/>
    <w:rsid w:val="00436AF4"/>
    <w:rsid w:val="0044015B"/>
    <w:rsid w:val="00443A41"/>
    <w:rsid w:val="00445F6B"/>
    <w:rsid w:val="00452418"/>
    <w:rsid w:val="00453F8E"/>
    <w:rsid w:val="00462174"/>
    <w:rsid w:val="00463B99"/>
    <w:rsid w:val="0047028A"/>
    <w:rsid w:val="0047221D"/>
    <w:rsid w:val="00477DDE"/>
    <w:rsid w:val="004A0F0A"/>
    <w:rsid w:val="004B7BC9"/>
    <w:rsid w:val="004E1994"/>
    <w:rsid w:val="004E1A83"/>
    <w:rsid w:val="004E27C5"/>
    <w:rsid w:val="004E39F4"/>
    <w:rsid w:val="004E5BA2"/>
    <w:rsid w:val="004F53A7"/>
    <w:rsid w:val="005058FD"/>
    <w:rsid w:val="00515347"/>
    <w:rsid w:val="00522274"/>
    <w:rsid w:val="005440BF"/>
    <w:rsid w:val="0055004D"/>
    <w:rsid w:val="005551FD"/>
    <w:rsid w:val="00557FA3"/>
    <w:rsid w:val="00566CC7"/>
    <w:rsid w:val="005674E8"/>
    <w:rsid w:val="00584292"/>
    <w:rsid w:val="00585F58"/>
    <w:rsid w:val="005A3B5D"/>
    <w:rsid w:val="005A6DA4"/>
    <w:rsid w:val="005B44EF"/>
    <w:rsid w:val="005B533D"/>
    <w:rsid w:val="005B5DB2"/>
    <w:rsid w:val="005C0FBD"/>
    <w:rsid w:val="005C3D32"/>
    <w:rsid w:val="005D1B7F"/>
    <w:rsid w:val="005E06C0"/>
    <w:rsid w:val="005F167B"/>
    <w:rsid w:val="0062185F"/>
    <w:rsid w:val="00625638"/>
    <w:rsid w:val="006300C0"/>
    <w:rsid w:val="0063752E"/>
    <w:rsid w:val="00647DC7"/>
    <w:rsid w:val="0065427D"/>
    <w:rsid w:val="00661E31"/>
    <w:rsid w:val="00667420"/>
    <w:rsid w:val="00675286"/>
    <w:rsid w:val="00683FCD"/>
    <w:rsid w:val="006857F1"/>
    <w:rsid w:val="00687CD7"/>
    <w:rsid w:val="00692DA5"/>
    <w:rsid w:val="006A4F76"/>
    <w:rsid w:val="006A5728"/>
    <w:rsid w:val="006A67CA"/>
    <w:rsid w:val="006B49BF"/>
    <w:rsid w:val="006C4B90"/>
    <w:rsid w:val="006C50C6"/>
    <w:rsid w:val="006C6F40"/>
    <w:rsid w:val="006D2FC3"/>
    <w:rsid w:val="006D5A0F"/>
    <w:rsid w:val="006E0731"/>
    <w:rsid w:val="006E24F7"/>
    <w:rsid w:val="006F55A3"/>
    <w:rsid w:val="006F6272"/>
    <w:rsid w:val="006F6383"/>
    <w:rsid w:val="00720227"/>
    <w:rsid w:val="00736746"/>
    <w:rsid w:val="007403B4"/>
    <w:rsid w:val="007411D0"/>
    <w:rsid w:val="00745DBE"/>
    <w:rsid w:val="0074694B"/>
    <w:rsid w:val="00751D95"/>
    <w:rsid w:val="00775B85"/>
    <w:rsid w:val="00784B00"/>
    <w:rsid w:val="00787DD4"/>
    <w:rsid w:val="007A19CD"/>
    <w:rsid w:val="007C000E"/>
    <w:rsid w:val="007C654E"/>
    <w:rsid w:val="007C7803"/>
    <w:rsid w:val="007D0A58"/>
    <w:rsid w:val="007E1B1F"/>
    <w:rsid w:val="007F0687"/>
    <w:rsid w:val="007F5F08"/>
    <w:rsid w:val="008010AD"/>
    <w:rsid w:val="0080354C"/>
    <w:rsid w:val="0080386C"/>
    <w:rsid w:val="0080558F"/>
    <w:rsid w:val="00817EF1"/>
    <w:rsid w:val="00822970"/>
    <w:rsid w:val="00824915"/>
    <w:rsid w:val="00826D8B"/>
    <w:rsid w:val="0084303C"/>
    <w:rsid w:val="0085010B"/>
    <w:rsid w:val="00860BF2"/>
    <w:rsid w:val="008672BB"/>
    <w:rsid w:val="008678C3"/>
    <w:rsid w:val="0088126D"/>
    <w:rsid w:val="00884A14"/>
    <w:rsid w:val="00885D99"/>
    <w:rsid w:val="008862A8"/>
    <w:rsid w:val="008926BD"/>
    <w:rsid w:val="0089745C"/>
    <w:rsid w:val="008A7ED7"/>
    <w:rsid w:val="008B0557"/>
    <w:rsid w:val="008B22FB"/>
    <w:rsid w:val="008C5BF0"/>
    <w:rsid w:val="008C7D59"/>
    <w:rsid w:val="008D267B"/>
    <w:rsid w:val="008F299A"/>
    <w:rsid w:val="008F3BDD"/>
    <w:rsid w:val="008F634B"/>
    <w:rsid w:val="0091768B"/>
    <w:rsid w:val="0093097F"/>
    <w:rsid w:val="00932119"/>
    <w:rsid w:val="00952499"/>
    <w:rsid w:val="0095347A"/>
    <w:rsid w:val="009540AF"/>
    <w:rsid w:val="009733B4"/>
    <w:rsid w:val="00974D61"/>
    <w:rsid w:val="009948B0"/>
    <w:rsid w:val="009A5AA7"/>
    <w:rsid w:val="009A7BF2"/>
    <w:rsid w:val="009B45A7"/>
    <w:rsid w:val="009B576E"/>
    <w:rsid w:val="009B6392"/>
    <w:rsid w:val="009C42BB"/>
    <w:rsid w:val="009C5ACB"/>
    <w:rsid w:val="009D6005"/>
    <w:rsid w:val="009E5752"/>
    <w:rsid w:val="009F1338"/>
    <w:rsid w:val="009F5448"/>
    <w:rsid w:val="009F7262"/>
    <w:rsid w:val="009F7FE9"/>
    <w:rsid w:val="00A04726"/>
    <w:rsid w:val="00A2370A"/>
    <w:rsid w:val="00A26A40"/>
    <w:rsid w:val="00A359DF"/>
    <w:rsid w:val="00A40598"/>
    <w:rsid w:val="00A43A3E"/>
    <w:rsid w:val="00A508FB"/>
    <w:rsid w:val="00A56DD6"/>
    <w:rsid w:val="00A62F9C"/>
    <w:rsid w:val="00A67610"/>
    <w:rsid w:val="00A76E06"/>
    <w:rsid w:val="00A77BD3"/>
    <w:rsid w:val="00A8032F"/>
    <w:rsid w:val="00AA431D"/>
    <w:rsid w:val="00AA4A5C"/>
    <w:rsid w:val="00AB40CB"/>
    <w:rsid w:val="00AB4773"/>
    <w:rsid w:val="00AD21B5"/>
    <w:rsid w:val="00AE4C10"/>
    <w:rsid w:val="00AE7A3B"/>
    <w:rsid w:val="00AF347D"/>
    <w:rsid w:val="00AF622C"/>
    <w:rsid w:val="00AF6AE1"/>
    <w:rsid w:val="00B01090"/>
    <w:rsid w:val="00B050A9"/>
    <w:rsid w:val="00B10A5E"/>
    <w:rsid w:val="00B12A4B"/>
    <w:rsid w:val="00B13FF6"/>
    <w:rsid w:val="00B16151"/>
    <w:rsid w:val="00B329DD"/>
    <w:rsid w:val="00B357DC"/>
    <w:rsid w:val="00B37A1D"/>
    <w:rsid w:val="00B40E62"/>
    <w:rsid w:val="00B41B52"/>
    <w:rsid w:val="00B539FC"/>
    <w:rsid w:val="00B54C38"/>
    <w:rsid w:val="00B64678"/>
    <w:rsid w:val="00B6614B"/>
    <w:rsid w:val="00B7032D"/>
    <w:rsid w:val="00B708EC"/>
    <w:rsid w:val="00B87F0D"/>
    <w:rsid w:val="00B93094"/>
    <w:rsid w:val="00B97BB6"/>
    <w:rsid w:val="00BA0750"/>
    <w:rsid w:val="00BA7437"/>
    <w:rsid w:val="00BB2377"/>
    <w:rsid w:val="00BB3798"/>
    <w:rsid w:val="00BD20A5"/>
    <w:rsid w:val="00BD2F28"/>
    <w:rsid w:val="00BD3D34"/>
    <w:rsid w:val="00BD6EBE"/>
    <w:rsid w:val="00BE11DE"/>
    <w:rsid w:val="00BE21A7"/>
    <w:rsid w:val="00BF0D84"/>
    <w:rsid w:val="00C06047"/>
    <w:rsid w:val="00C20F36"/>
    <w:rsid w:val="00C23832"/>
    <w:rsid w:val="00C318CE"/>
    <w:rsid w:val="00C32475"/>
    <w:rsid w:val="00C35929"/>
    <w:rsid w:val="00C52346"/>
    <w:rsid w:val="00C62172"/>
    <w:rsid w:val="00C716B2"/>
    <w:rsid w:val="00C76979"/>
    <w:rsid w:val="00C8184D"/>
    <w:rsid w:val="00C9068E"/>
    <w:rsid w:val="00C94351"/>
    <w:rsid w:val="00C96583"/>
    <w:rsid w:val="00CB3029"/>
    <w:rsid w:val="00CB754F"/>
    <w:rsid w:val="00CD4254"/>
    <w:rsid w:val="00CE2A82"/>
    <w:rsid w:val="00CE4D36"/>
    <w:rsid w:val="00CF5443"/>
    <w:rsid w:val="00CF6946"/>
    <w:rsid w:val="00D001A9"/>
    <w:rsid w:val="00D15F88"/>
    <w:rsid w:val="00D21777"/>
    <w:rsid w:val="00D25335"/>
    <w:rsid w:val="00D34121"/>
    <w:rsid w:val="00D451A4"/>
    <w:rsid w:val="00D45C93"/>
    <w:rsid w:val="00D515E7"/>
    <w:rsid w:val="00D57CDF"/>
    <w:rsid w:val="00D658E4"/>
    <w:rsid w:val="00D671C7"/>
    <w:rsid w:val="00D85DD4"/>
    <w:rsid w:val="00D86949"/>
    <w:rsid w:val="00D9680B"/>
    <w:rsid w:val="00DA2017"/>
    <w:rsid w:val="00DA2830"/>
    <w:rsid w:val="00DB0BDD"/>
    <w:rsid w:val="00DB6E88"/>
    <w:rsid w:val="00DC70AB"/>
    <w:rsid w:val="00DD4C6E"/>
    <w:rsid w:val="00DE453F"/>
    <w:rsid w:val="00DF4BCE"/>
    <w:rsid w:val="00DF76C1"/>
    <w:rsid w:val="00DF78D8"/>
    <w:rsid w:val="00E046C5"/>
    <w:rsid w:val="00E11C0D"/>
    <w:rsid w:val="00E321A6"/>
    <w:rsid w:val="00E32A0C"/>
    <w:rsid w:val="00E7230B"/>
    <w:rsid w:val="00E912C3"/>
    <w:rsid w:val="00EA3F60"/>
    <w:rsid w:val="00EA629A"/>
    <w:rsid w:val="00EA6C92"/>
    <w:rsid w:val="00EA738D"/>
    <w:rsid w:val="00EB0EE6"/>
    <w:rsid w:val="00EB1098"/>
    <w:rsid w:val="00ED21B1"/>
    <w:rsid w:val="00ED3AED"/>
    <w:rsid w:val="00ED5D85"/>
    <w:rsid w:val="00ED6617"/>
    <w:rsid w:val="00EE2784"/>
    <w:rsid w:val="00EE4AF0"/>
    <w:rsid w:val="00EE5DF0"/>
    <w:rsid w:val="00EF2222"/>
    <w:rsid w:val="00F14C9D"/>
    <w:rsid w:val="00F16269"/>
    <w:rsid w:val="00F37345"/>
    <w:rsid w:val="00F42BAC"/>
    <w:rsid w:val="00F5086B"/>
    <w:rsid w:val="00F57936"/>
    <w:rsid w:val="00F720B6"/>
    <w:rsid w:val="00F87C1F"/>
    <w:rsid w:val="00F917BF"/>
    <w:rsid w:val="00FB05C5"/>
    <w:rsid w:val="00FD69F4"/>
    <w:rsid w:val="00FE030D"/>
    <w:rsid w:val="00FE0884"/>
    <w:rsid w:val="00FE1D22"/>
    <w:rsid w:val="00FE3C66"/>
    <w:rsid w:val="00FE4CAC"/>
    <w:rsid w:val="00FF2D6D"/>
    <w:rsid w:val="00FF5EDC"/>
    <w:rsid w:val="B7BF292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2"/>
    <w:semiHidden/>
    <w:unhideWhenUsed/>
    <w:qFormat/>
    <w:uiPriority w:val="99"/>
    <w:pPr>
      <w:jc w:val="left"/>
    </w:pPr>
  </w:style>
  <w:style w:type="paragraph" w:styleId="3">
    <w:name w:val="endnote text"/>
    <w:basedOn w:val="1"/>
    <w:link w:val="15"/>
    <w:semiHidden/>
    <w:unhideWhenUsed/>
    <w:qFormat/>
    <w:uiPriority w:val="99"/>
    <w:pPr>
      <w:snapToGrid w:val="0"/>
      <w:jc w:val="left"/>
    </w:pPr>
  </w:style>
  <w:style w:type="paragraph" w:styleId="4">
    <w:name w:val="Balloon Text"/>
    <w:basedOn w:val="1"/>
    <w:link w:val="18"/>
    <w:semiHidden/>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21"/>
    <w:semiHidden/>
    <w:qFormat/>
    <w:uiPriority w:val="99"/>
    <w:pPr>
      <w:snapToGrid w:val="0"/>
      <w:jc w:val="left"/>
    </w:pPr>
    <w:rPr>
      <w:rFonts w:ascii="Times New Roman" w:hAnsi="Times New Roman" w:eastAsia="PMingLiU"/>
      <w:sz w:val="20"/>
      <w:szCs w:val="20"/>
      <w:lang w:eastAsia="zh-TW"/>
    </w:rPr>
  </w:style>
  <w:style w:type="paragraph" w:styleId="8">
    <w:name w:val="annotation subject"/>
    <w:basedOn w:val="2"/>
    <w:next w:val="2"/>
    <w:link w:val="23"/>
    <w:semiHidden/>
    <w:unhideWhenUsed/>
    <w:qFormat/>
    <w:uiPriority w:val="99"/>
    <w:rPr>
      <w:b/>
      <w:bCs/>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endnote reference"/>
    <w:semiHidden/>
    <w:unhideWhenUsed/>
    <w:qFormat/>
    <w:uiPriority w:val="99"/>
    <w:rPr>
      <w:vertAlign w:val="superscript"/>
    </w:rPr>
  </w:style>
  <w:style w:type="character" w:styleId="13">
    <w:name w:val="annotation reference"/>
    <w:basedOn w:val="11"/>
    <w:semiHidden/>
    <w:unhideWhenUsed/>
    <w:qFormat/>
    <w:uiPriority w:val="99"/>
    <w:rPr>
      <w:sz w:val="21"/>
      <w:szCs w:val="21"/>
    </w:rPr>
  </w:style>
  <w:style w:type="character" w:styleId="14">
    <w:name w:val="footnote reference"/>
    <w:semiHidden/>
    <w:unhideWhenUsed/>
    <w:qFormat/>
    <w:uiPriority w:val="99"/>
    <w:rPr>
      <w:vertAlign w:val="superscript"/>
    </w:rPr>
  </w:style>
  <w:style w:type="character" w:customStyle="1" w:styleId="15">
    <w:name w:val="尾注文本 字符"/>
    <w:basedOn w:val="11"/>
    <w:link w:val="3"/>
    <w:semiHidden/>
    <w:qFormat/>
    <w:uiPriority w:val="99"/>
  </w:style>
  <w:style w:type="character" w:customStyle="1" w:styleId="16">
    <w:name w:val="页眉 字符"/>
    <w:link w:val="6"/>
    <w:qFormat/>
    <w:uiPriority w:val="99"/>
    <w:rPr>
      <w:sz w:val="18"/>
      <w:szCs w:val="18"/>
    </w:rPr>
  </w:style>
  <w:style w:type="character" w:customStyle="1" w:styleId="17">
    <w:name w:val="页脚 字符"/>
    <w:link w:val="5"/>
    <w:qFormat/>
    <w:uiPriority w:val="99"/>
    <w:rPr>
      <w:sz w:val="18"/>
      <w:szCs w:val="18"/>
    </w:rPr>
  </w:style>
  <w:style w:type="character" w:customStyle="1" w:styleId="18">
    <w:name w:val="批注框文本 字符"/>
    <w:link w:val="4"/>
    <w:semiHidden/>
    <w:qFormat/>
    <w:uiPriority w:val="99"/>
    <w:rPr>
      <w:kern w:val="2"/>
      <w:sz w:val="18"/>
      <w:szCs w:val="18"/>
    </w:rPr>
  </w:style>
  <w:style w:type="paragraph" w:customStyle="1" w:styleId="19">
    <w:name w:val="列出段落1"/>
    <w:basedOn w:val="1"/>
    <w:qFormat/>
    <w:uiPriority w:val="34"/>
    <w:pPr>
      <w:ind w:firstLine="420" w:firstLineChars="200"/>
    </w:pPr>
  </w:style>
  <w:style w:type="paragraph" w:styleId="20">
    <w:name w:val="List Paragraph"/>
    <w:basedOn w:val="1"/>
    <w:qFormat/>
    <w:uiPriority w:val="34"/>
    <w:pPr>
      <w:ind w:firstLine="420" w:firstLineChars="200"/>
    </w:pPr>
  </w:style>
  <w:style w:type="character" w:customStyle="1" w:styleId="21">
    <w:name w:val="脚注文本 字符"/>
    <w:link w:val="7"/>
    <w:semiHidden/>
    <w:qFormat/>
    <w:uiPriority w:val="99"/>
    <w:rPr>
      <w:rFonts w:ascii="Times New Roman" w:hAnsi="Times New Roman" w:eastAsia="PMingLiU"/>
      <w:kern w:val="2"/>
      <w:lang w:eastAsia="zh-TW"/>
    </w:rPr>
  </w:style>
  <w:style w:type="character" w:customStyle="1" w:styleId="22">
    <w:name w:val="批注文字 字符"/>
    <w:basedOn w:val="11"/>
    <w:link w:val="2"/>
    <w:semiHidden/>
    <w:qFormat/>
    <w:uiPriority w:val="99"/>
    <w:rPr>
      <w:kern w:val="2"/>
      <w:sz w:val="21"/>
      <w:szCs w:val="22"/>
    </w:rPr>
  </w:style>
  <w:style w:type="character" w:customStyle="1" w:styleId="23">
    <w:name w:val="批注主题 字符"/>
    <w:basedOn w:val="22"/>
    <w:link w:val="8"/>
    <w:semiHidden/>
    <w:qFormat/>
    <w:uiPriority w:val="99"/>
    <w:rPr>
      <w:b/>
      <w:bCs/>
      <w:kern w:val="2"/>
      <w:sz w:val="21"/>
      <w:szCs w:val="22"/>
    </w:rPr>
  </w:style>
  <w:style w:type="paragraph" w:customStyle="1" w:styleId="24">
    <w:name w:val="Revision"/>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130</Words>
  <Characters>741</Characters>
  <Lines>6</Lines>
  <Paragraphs>1</Paragraphs>
  <TotalTime>12</TotalTime>
  <ScaleCrop>false</ScaleCrop>
  <LinksUpToDate>false</LinksUpToDate>
  <CharactersWithSpaces>870</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2023-06-20T10:39:00Z</dcterms:created>
  <dc:creator>Dehenglaw</dc:creator>
  <cp:lastModifiedBy>scjgj</cp:lastModifiedBy>
  <cp:lastPrinted>2412-01-01T00:00:00Z</cp:lastPrinted>
  <dcterms:modified xsi:type="dcterms:W3CDTF">2023-07-07T10:59:30Z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