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Style w:val="7"/>
        <w:tblW w:w="91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5555"/>
      </w:tblGrid>
      <w:tr>
        <w:trPr>
          <w:trHeight w:val="926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eastAsia="宋体"/>
                <w:bCs/>
                <w:color w:val="000000"/>
                <w:lang w:val="en-US" w:eastAsia="zh-Hans"/>
              </w:rPr>
            </w:pPr>
            <w:r>
              <w:rPr>
                <w:rFonts w:hint="eastAsia"/>
                <w:bCs/>
                <w:color w:val="000000"/>
                <w:lang w:val="en-US" w:eastAsia="zh-Hans"/>
              </w:rPr>
              <w:t>中煤电力有限公司与江苏国信股份有限公司新设合营企业案</w:t>
            </w:r>
          </w:p>
        </w:tc>
      </w:tr>
      <w:tr>
        <w:trPr>
          <w:trHeight w:val="1391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交易概况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eastAsia="宋体"/>
                <w:b w:val="0"/>
                <w:bCs/>
                <w:color w:val="000000"/>
                <w:lang w:eastAsia="zh-Hans"/>
              </w:rPr>
            </w:pPr>
            <w:r>
              <w:rPr>
                <w:rFonts w:hint="eastAsia"/>
                <w:b w:val="0"/>
                <w:bCs/>
                <w:color w:val="000000"/>
              </w:rPr>
              <w:t>中煤电力有限公司（中煤电力）</w:t>
            </w:r>
            <w:r>
              <w:rPr>
                <w:rFonts w:hint="eastAsia"/>
                <w:b w:val="0"/>
                <w:bCs/>
                <w:color w:val="000000"/>
                <w:lang w:eastAsia="zh-CN"/>
              </w:rPr>
              <w:t>、</w:t>
            </w:r>
            <w:r>
              <w:rPr>
                <w:rFonts w:hint="eastAsia"/>
                <w:b w:val="0"/>
                <w:bCs/>
                <w:szCs w:val="21"/>
                <w:lang w:val="en-US" w:eastAsia="zh-Hans"/>
              </w:rPr>
              <w:t>江苏国信股份有限公司</w:t>
            </w:r>
            <w:r>
              <w:rPr>
                <w:rFonts w:hint="eastAsia"/>
                <w:b w:val="0"/>
                <w:bCs/>
                <w:color w:val="000000"/>
              </w:rPr>
              <w:t>（</w:t>
            </w:r>
            <w:r>
              <w:rPr>
                <w:rFonts w:hint="default"/>
                <w:b w:val="0"/>
                <w:bCs/>
                <w:color w:val="000000"/>
                <w:lang w:eastAsia="zh-CN"/>
              </w:rPr>
              <w:t>国信股份</w:t>
            </w:r>
            <w:r>
              <w:rPr>
                <w:rFonts w:hint="eastAsia"/>
                <w:b w:val="0"/>
                <w:bCs/>
                <w:color w:val="000000"/>
              </w:rPr>
              <w:t>）</w:t>
            </w:r>
            <w:r>
              <w:rPr>
                <w:rFonts w:hint="default"/>
                <w:b w:val="0"/>
                <w:bCs/>
                <w:color w:val="000000"/>
              </w:rPr>
              <w:t>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泰州市泰能投资管理有限责任公司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（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泰州泰能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）、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江苏华靖资产管理有限公司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（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江苏华靖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）</w:t>
            </w:r>
            <w:r>
              <w:rPr>
                <w:rFonts w:hint="eastAsia"/>
                <w:b w:val="0"/>
                <w:bCs/>
                <w:color w:val="000000"/>
              </w:rPr>
              <w:t>拟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新设合营企业</w:t>
            </w:r>
            <w:r>
              <w:rPr>
                <w:rFonts w:hint="eastAsia"/>
                <w:b w:val="0"/>
                <w:bCs/>
                <w:color w:val="000000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其中中煤电力持股比例为</w:t>
            </w:r>
            <w:r>
              <w:rPr>
                <w:rFonts w:hint="default"/>
                <w:b w:val="0"/>
                <w:bCs/>
                <w:color w:val="000000"/>
                <w:lang w:eastAsia="zh-CN"/>
              </w:rPr>
              <w:t>51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%，</w:t>
            </w:r>
            <w:r>
              <w:rPr>
                <w:rFonts w:hint="default"/>
                <w:b w:val="0"/>
                <w:bCs/>
                <w:color w:val="000000"/>
                <w:lang w:eastAsia="zh-CN"/>
              </w:rPr>
              <w:t>国信股份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持股比例为</w:t>
            </w:r>
            <w:r>
              <w:rPr>
                <w:rFonts w:hint="default"/>
                <w:b w:val="0"/>
                <w:bCs/>
                <w:color w:val="000000"/>
                <w:lang w:eastAsia="zh-CN"/>
              </w:rPr>
              <w:t>34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%</w:t>
            </w:r>
            <w:r>
              <w:rPr>
                <w:rFonts w:hint="default"/>
                <w:b w:val="0"/>
                <w:bCs/>
                <w:color w:val="000000"/>
                <w:lang w:eastAsia="zh-CN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泰州泰能持股比例为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7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.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5%，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江苏华靖持股比例为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7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.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5%。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合营企业设立后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，</w:t>
            </w:r>
            <w:r>
              <w:rPr>
                <w:rFonts w:hint="eastAsia"/>
                <w:b w:val="0"/>
                <w:bCs/>
                <w:color w:val="000000"/>
                <w:lang w:val="en-US" w:eastAsia="zh-Hans"/>
              </w:rPr>
              <w:t>主要从事火力发电业务</w:t>
            </w:r>
            <w:r>
              <w:rPr>
                <w:rFonts w:hint="default"/>
                <w:b w:val="0"/>
                <w:bCs/>
                <w:color w:val="000000"/>
                <w:lang w:eastAsia="zh-Hans"/>
              </w:rPr>
              <w:t>。</w:t>
            </w:r>
            <w:bookmarkStart w:id="0" w:name="_GoBack"/>
            <w:bookmarkEnd w:id="0"/>
          </w:p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rFonts w:hint="eastAsia"/>
                <w:b w:val="0"/>
                <w:bCs/>
                <w:color w:val="000000"/>
              </w:rPr>
              <w:t>本次交易后，中煤电力</w:t>
            </w:r>
            <w:r>
              <w:rPr>
                <w:rFonts w:hint="eastAsia"/>
                <w:b w:val="0"/>
                <w:bCs/>
                <w:color w:val="000000"/>
                <w:lang w:eastAsia="zh-CN"/>
              </w:rPr>
              <w:t>、</w:t>
            </w:r>
            <w:r>
              <w:rPr>
                <w:rFonts w:hint="default"/>
                <w:b w:val="0"/>
                <w:bCs/>
                <w:color w:val="000000"/>
                <w:lang w:eastAsia="zh-CN"/>
              </w:rPr>
              <w:t>国信股份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将共</w:t>
            </w:r>
            <w:r>
              <w:rPr>
                <w:rFonts w:hint="eastAsia"/>
                <w:b w:val="0"/>
                <w:bCs/>
                <w:color w:val="000000"/>
              </w:rPr>
              <w:t>同控制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新设合营企业</w:t>
            </w:r>
            <w:r>
              <w:rPr>
                <w:rFonts w:hint="eastAsia"/>
                <w:b w:val="0"/>
                <w:bCs/>
                <w:color w:val="000000"/>
              </w:rPr>
              <w:t>。</w:t>
            </w:r>
          </w:p>
        </w:tc>
      </w:tr>
      <w:tr>
        <w:trPr>
          <w:trHeight w:val="942" w:hRule="atLeast"/>
          <w:jc w:val="center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参与集中的经营者简介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1.</w:t>
            </w:r>
            <w:r>
              <w:rPr>
                <w:rFonts w:cs="Times New Roman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中煤电力</w:t>
            </w:r>
          </w:p>
        </w:tc>
        <w:tc>
          <w:tcPr>
            <w:tcW w:w="5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before="0" w:beforeAutospacing="0" w:after="0"/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中煤电力于2020年1月21日成立于北京市，公司主要从事火电发电、新能源、综合能源及其它能源项目的投资与管理业务。</w:t>
            </w:r>
          </w:p>
          <w:p>
            <w:pPr>
              <w:snapToGrid w:val="0"/>
              <w:spacing w:before="0" w:beforeAutospacing="0" w:after="0"/>
              <w:rPr>
                <w:b w:val="0"/>
                <w:bCs w:val="0"/>
                <w:szCs w:val="21"/>
              </w:rPr>
            </w:pPr>
            <w:r>
              <w:rPr>
                <w:b w:val="0"/>
                <w:bCs w:val="0"/>
                <w:szCs w:val="21"/>
              </w:rPr>
              <w:t>中煤电力的最终控制人是</w:t>
            </w:r>
            <w:r>
              <w:rPr>
                <w:rFonts w:hint="eastAsia"/>
                <w:b w:val="0"/>
                <w:bCs w:val="0"/>
                <w:szCs w:val="21"/>
              </w:rPr>
              <w:t>中国中煤能源集团有限公司（中煤集团），主要从事煤炭生产与销售、煤化工、火力发电等业务。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eastAsia="宋体" w:cs="Times New Roman"/>
                <w:bCs/>
                <w:color w:val="000000"/>
                <w:lang w:val="en-US" w:eastAsia="zh-Hans"/>
              </w:rPr>
            </w:pPr>
            <w:r>
              <w:rPr>
                <w:rFonts w:hint="default" w:cs="Times New Roman"/>
                <w:bCs/>
                <w:color w:val="000000"/>
                <w:lang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.国信股份</w:t>
            </w:r>
          </w:p>
        </w:tc>
        <w:tc>
          <w:tcPr>
            <w:tcW w:w="5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before="0" w:beforeAutospacing="0" w:after="0"/>
              <w:rPr>
                <w:rFonts w:hint="default"/>
                <w:b w:val="0"/>
                <w:bCs w:val="0"/>
                <w:szCs w:val="21"/>
                <w:lang w:eastAsia="zh-Hans"/>
              </w:rPr>
            </w:pP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国信股份于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2003</w:t>
            </w: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年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6</w:t>
            </w: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月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16</w:t>
            </w: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日成立于江苏南京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公司主要从事电力、热力生产及金融业务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。</w:t>
            </w:r>
          </w:p>
          <w:p>
            <w:pPr>
              <w:snapToGrid w:val="0"/>
              <w:spacing w:before="0" w:beforeAutospacing="0" w:after="0"/>
              <w:rPr>
                <w:rFonts w:hint="default"/>
                <w:b w:val="0"/>
                <w:bCs w:val="0"/>
                <w:szCs w:val="21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国信股份的最终控制人是江苏省国信集团有限公司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（</w:t>
            </w: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国信集团</w:t>
            </w:r>
            <w:r>
              <w:rPr>
                <w:rFonts w:hint="default"/>
                <w:b w:val="0"/>
                <w:bCs w:val="0"/>
                <w:szCs w:val="21"/>
                <w:lang w:eastAsia="zh-Hans"/>
              </w:rPr>
              <w:t>），</w:t>
            </w:r>
            <w:r>
              <w:rPr>
                <w:rFonts w:hint="eastAsia"/>
                <w:b w:val="0"/>
                <w:bCs w:val="0"/>
                <w:szCs w:val="21"/>
                <w:lang w:val="en-US" w:eastAsia="zh-Hans"/>
              </w:rPr>
              <w:t>主要从事能源投资、金融、新兴产业投资、贸易、社会事业等业务。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  <w:jc w:val="center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简易案件理由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lang w:val="en-GB"/>
              </w:rPr>
              <w:t xml:space="preserve"> </w:t>
            </w:r>
            <w:r>
              <w:rPr>
                <w:rFonts w:cs="Times New Roman"/>
                <w:bCs/>
                <w:color w:val="000000"/>
              </w:rPr>
              <w:t>1、在同一相关市场，所有参与集中的经营者所占市场份额之和小于15%。</w:t>
            </w:r>
          </w:p>
        </w:tc>
      </w:tr>
      <w:tr>
        <w:trPr>
          <w:trHeight w:val="330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bCs/>
                <w:color w:val="000000"/>
              </w:rPr>
              <w:t>2、存在上下游关系的参与集中的经营者，在上下游市场所占的市场份额均小于25%。</w:t>
            </w:r>
          </w:p>
        </w:tc>
      </w:tr>
      <w:tr>
        <w:trPr>
          <w:trHeight w:val="285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rPr>
          <w:trHeight w:val="363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rPr>
          <w:trHeight w:val="264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rPr>
          <w:trHeight w:val="345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rPr>
          <w:trHeight w:val="546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横向重叠：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202</w:t>
            </w:r>
            <w:r>
              <w:rPr>
                <w:rFonts w:hint="default" w:cs="Times New Roman"/>
                <w:bCs/>
                <w:color w:val="000000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年中国境内火力发电市场：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eastAsia"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中煤电力：0-5%，</w:t>
            </w:r>
            <w:r>
              <w:rPr>
                <w:rFonts w:hint="default" w:cs="Times New Roman"/>
                <w:bCs/>
                <w:color w:val="000000"/>
                <w:lang w:eastAsia="zh-CN"/>
              </w:rPr>
              <w:t>国信股份</w:t>
            </w:r>
            <w:r>
              <w:rPr>
                <w:rFonts w:hint="eastAsia" w:cs="Times New Roman"/>
                <w:bCs/>
                <w:color w:val="000000"/>
              </w:rPr>
              <w:t>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%，</w:t>
            </w: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双</w:t>
            </w:r>
            <w:r>
              <w:rPr>
                <w:rFonts w:hint="eastAsia" w:cs="Times New Roman"/>
                <w:bCs/>
                <w:color w:val="000000"/>
              </w:rPr>
              <w:t>方合计：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cs="Times New Roman"/>
                <w:bCs/>
                <w:color w:val="000000"/>
                <w:lang w:eastAsia="zh-Hans"/>
              </w:rPr>
            </w:pP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合营企业</w:t>
            </w:r>
            <w:r>
              <w:rPr>
                <w:rFonts w:hint="default" w:cs="Times New Roman"/>
                <w:bCs/>
                <w:color w:val="000000"/>
                <w:lang w:eastAsia="zh-Hans"/>
              </w:rPr>
              <w:t>（</w:t>
            </w: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预估</w:t>
            </w:r>
            <w:r>
              <w:rPr>
                <w:rFonts w:hint="default" w:cs="Times New Roman"/>
                <w:bCs/>
                <w:color w:val="000000"/>
                <w:lang w:eastAsia="zh-Hans"/>
              </w:rPr>
              <w:t>2026</w:t>
            </w: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年</w:t>
            </w:r>
            <w:r>
              <w:rPr>
                <w:rFonts w:hint="default" w:cs="Times New Roman"/>
                <w:bCs/>
                <w:color w:val="000000"/>
                <w:lang w:eastAsia="zh-Hans"/>
              </w:rPr>
              <w:t>）：0-5%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cs="Times New Roman"/>
                <w:bCs/>
                <w:color w:val="000000"/>
              </w:rPr>
            </w:pP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hint="eastAsia" w:cs="Times New Roman"/>
                <w:b/>
                <w:color w:val="000000"/>
              </w:rPr>
              <w:t>纵向关联：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上游：202</w:t>
            </w:r>
            <w:r>
              <w:rPr>
                <w:rFonts w:hint="default" w:cs="Times New Roman"/>
                <w:bCs/>
                <w:color w:val="000000"/>
                <w:lang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年中国境内动力煤市场</w:t>
            </w:r>
            <w:r>
              <w:rPr>
                <w:rFonts w:hint="default" w:cs="Times New Roman"/>
                <w:bCs/>
                <w:color w:val="000000"/>
              </w:rPr>
              <w:t>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eastAsia="宋体" w:cs="Times New Roman"/>
                <w:bCs/>
                <w:color w:val="000000"/>
                <w:lang w:eastAsia="zh-Hans"/>
              </w:rPr>
            </w:pP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中煤电力</w:t>
            </w:r>
            <w:r>
              <w:rPr>
                <w:rFonts w:hint="default" w:cs="Times New Roman"/>
                <w:bCs/>
                <w:color w:val="000000"/>
                <w:lang w:eastAsia="zh-Hans"/>
              </w:rPr>
              <w:t>：0-5%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下游：202</w:t>
            </w:r>
            <w:r>
              <w:rPr>
                <w:rFonts w:hint="default" w:cs="Times New Roman"/>
                <w:bCs/>
                <w:color w:val="000000"/>
                <w:lang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年中国境内火力发电市场：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cs="Times New Roman"/>
                <w:bCs/>
                <w:color w:val="000000"/>
                <w:lang w:val="en-US" w:eastAsia="zh-Hans"/>
              </w:rPr>
            </w:pPr>
            <w:r>
              <w:rPr>
                <w:rFonts w:hint="eastAsia" w:cs="Times New Roman"/>
                <w:bCs/>
                <w:color w:val="000000"/>
                <w:lang w:val="en-US" w:eastAsia="zh-Hans"/>
              </w:rPr>
              <w:t>同上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TFangsong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implified Arabic">
    <w:altName w:val="Thonburi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Thonburi">
    <w:panose1 w:val="000004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  <w:docVar w:name="commondata" w:val="eyJoZGlkIjoiNjRhMjI3ZmYxMzhjMzRiNDE0M2MyZWMwYjZjMjA0NzIifQ=="/>
  </w:docVars>
  <w:rsids>
    <w:rsidRoot w:val="00946093"/>
    <w:rsid w:val="000137E0"/>
    <w:rsid w:val="0014425D"/>
    <w:rsid w:val="00185356"/>
    <w:rsid w:val="00194748"/>
    <w:rsid w:val="001C19A5"/>
    <w:rsid w:val="001D5B6A"/>
    <w:rsid w:val="001F1174"/>
    <w:rsid w:val="0025658D"/>
    <w:rsid w:val="00266B91"/>
    <w:rsid w:val="00280130"/>
    <w:rsid w:val="00280B5F"/>
    <w:rsid w:val="002F2EB7"/>
    <w:rsid w:val="00330685"/>
    <w:rsid w:val="0033132B"/>
    <w:rsid w:val="00366BEE"/>
    <w:rsid w:val="00382857"/>
    <w:rsid w:val="00382987"/>
    <w:rsid w:val="003A7638"/>
    <w:rsid w:val="003C54A5"/>
    <w:rsid w:val="0040541A"/>
    <w:rsid w:val="00407C8C"/>
    <w:rsid w:val="004138AE"/>
    <w:rsid w:val="00415346"/>
    <w:rsid w:val="00420EC7"/>
    <w:rsid w:val="00436D59"/>
    <w:rsid w:val="00440639"/>
    <w:rsid w:val="004527DB"/>
    <w:rsid w:val="00464E46"/>
    <w:rsid w:val="004709C7"/>
    <w:rsid w:val="00476557"/>
    <w:rsid w:val="004778F0"/>
    <w:rsid w:val="00484513"/>
    <w:rsid w:val="00504955"/>
    <w:rsid w:val="005452B8"/>
    <w:rsid w:val="0059147F"/>
    <w:rsid w:val="005A1945"/>
    <w:rsid w:val="005C39BF"/>
    <w:rsid w:val="005F6A14"/>
    <w:rsid w:val="006066D4"/>
    <w:rsid w:val="006308D6"/>
    <w:rsid w:val="00690392"/>
    <w:rsid w:val="00693EBA"/>
    <w:rsid w:val="00694E32"/>
    <w:rsid w:val="006E582C"/>
    <w:rsid w:val="00700A21"/>
    <w:rsid w:val="00774ACA"/>
    <w:rsid w:val="007B2FAD"/>
    <w:rsid w:val="007C1899"/>
    <w:rsid w:val="007D0852"/>
    <w:rsid w:val="007E170C"/>
    <w:rsid w:val="008332AE"/>
    <w:rsid w:val="008346D5"/>
    <w:rsid w:val="00851257"/>
    <w:rsid w:val="00852CC5"/>
    <w:rsid w:val="00853871"/>
    <w:rsid w:val="00867778"/>
    <w:rsid w:val="0088740C"/>
    <w:rsid w:val="008B10F3"/>
    <w:rsid w:val="008B1BEF"/>
    <w:rsid w:val="008E4CE0"/>
    <w:rsid w:val="008F42A0"/>
    <w:rsid w:val="00931EFD"/>
    <w:rsid w:val="009322B4"/>
    <w:rsid w:val="00946093"/>
    <w:rsid w:val="009544DC"/>
    <w:rsid w:val="0097261A"/>
    <w:rsid w:val="00987DF8"/>
    <w:rsid w:val="00987F5A"/>
    <w:rsid w:val="009D2094"/>
    <w:rsid w:val="00A23BFE"/>
    <w:rsid w:val="00A30EFE"/>
    <w:rsid w:val="00A44414"/>
    <w:rsid w:val="00A53422"/>
    <w:rsid w:val="00A73829"/>
    <w:rsid w:val="00AE1160"/>
    <w:rsid w:val="00AF2B95"/>
    <w:rsid w:val="00B24307"/>
    <w:rsid w:val="00B86150"/>
    <w:rsid w:val="00B8639E"/>
    <w:rsid w:val="00B916AA"/>
    <w:rsid w:val="00BA1731"/>
    <w:rsid w:val="00BD4DBA"/>
    <w:rsid w:val="00BD7FA0"/>
    <w:rsid w:val="00BE6D9A"/>
    <w:rsid w:val="00C2749F"/>
    <w:rsid w:val="00C3735D"/>
    <w:rsid w:val="00C41B3B"/>
    <w:rsid w:val="00CA4B5A"/>
    <w:rsid w:val="00CD7692"/>
    <w:rsid w:val="00CF1780"/>
    <w:rsid w:val="00D42B58"/>
    <w:rsid w:val="00D866D1"/>
    <w:rsid w:val="00D87C82"/>
    <w:rsid w:val="00D96EE0"/>
    <w:rsid w:val="00DD0418"/>
    <w:rsid w:val="00DF301E"/>
    <w:rsid w:val="00E0602B"/>
    <w:rsid w:val="00E2436F"/>
    <w:rsid w:val="00E33EAB"/>
    <w:rsid w:val="00E442DF"/>
    <w:rsid w:val="00E53585"/>
    <w:rsid w:val="00E54B25"/>
    <w:rsid w:val="00E74D99"/>
    <w:rsid w:val="00E8623F"/>
    <w:rsid w:val="00E9485D"/>
    <w:rsid w:val="00E96EEC"/>
    <w:rsid w:val="00EB09D6"/>
    <w:rsid w:val="00EB1C39"/>
    <w:rsid w:val="00ED4D8C"/>
    <w:rsid w:val="00EE1A8F"/>
    <w:rsid w:val="00EE5975"/>
    <w:rsid w:val="00EF0E68"/>
    <w:rsid w:val="00F2631B"/>
    <w:rsid w:val="00F602BD"/>
    <w:rsid w:val="00F7334B"/>
    <w:rsid w:val="00FA2B1A"/>
    <w:rsid w:val="00FA5A2C"/>
    <w:rsid w:val="00FC7C71"/>
    <w:rsid w:val="00FD2CD6"/>
    <w:rsid w:val="00FD69E4"/>
    <w:rsid w:val="00FE2615"/>
    <w:rsid w:val="00FE3238"/>
    <w:rsid w:val="04BC2777"/>
    <w:rsid w:val="1EDFC76A"/>
    <w:rsid w:val="3D6BB894"/>
    <w:rsid w:val="3FFF8234"/>
    <w:rsid w:val="5B7FD823"/>
    <w:rsid w:val="7BDF6A62"/>
    <w:rsid w:val="BFFF2942"/>
    <w:rsid w:val="CFFC0D05"/>
    <w:rsid w:val="D7FFEB08"/>
    <w:rsid w:val="DE7F8BEE"/>
    <w:rsid w:val="EE975E05"/>
    <w:rsid w:val="F2BD3FC1"/>
    <w:rsid w:val="FFB3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4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spacing w:before="0" w:beforeAutospacing="0" w:after="0"/>
      <w:jc w:val="left"/>
    </w:pPr>
    <w:rPr>
      <w:rFonts w:ascii="PMingLiU" w:hAnsi="PMingLiU" w:eastAsia="PMingLiU" w:cs="PMingLiU"/>
      <w:sz w:val="20"/>
      <w:szCs w:val="20"/>
      <w:lang w:eastAsia="zh-TW"/>
    </w:rPr>
  </w:style>
  <w:style w:type="paragraph" w:styleId="3">
    <w:name w:val="Body Text"/>
    <w:basedOn w:val="1"/>
    <w:link w:val="11"/>
    <w:unhideWhenUsed/>
    <w:qFormat/>
    <w:uiPriority w:val="99"/>
    <w:rPr>
      <w:rFonts w:cs="Simplified Arabic"/>
    </w:rPr>
  </w:style>
  <w:style w:type="paragraph" w:styleId="4">
    <w:name w:val="Balloon Text"/>
    <w:basedOn w:val="1"/>
    <w:link w:val="15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qFormat/>
    <w:uiPriority w:val="99"/>
    <w:rPr>
      <w:sz w:val="16"/>
    </w:rPr>
  </w:style>
  <w:style w:type="character" w:customStyle="1" w:styleId="11">
    <w:name w:val="正文文本 字符"/>
    <w:basedOn w:val="9"/>
    <w:link w:val="3"/>
    <w:qFormat/>
    <w:uiPriority w:val="99"/>
    <w:rPr>
      <w:rFonts w:ascii="Times New Roman" w:hAnsi="Times New Roman" w:eastAsia="宋体" w:cs="Simplified Arabic"/>
      <w:kern w:val="0"/>
      <w:sz w:val="24"/>
    </w:rPr>
  </w:style>
  <w:style w:type="paragraph" w:customStyle="1" w:styleId="12">
    <w:name w:val="修订1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3">
    <w:name w:val="页眉 字符"/>
    <w:basedOn w:val="9"/>
    <w:link w:val="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5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6">
    <w:name w:val="批注文字 字符"/>
    <w:basedOn w:val="9"/>
    <w:link w:val="2"/>
    <w:qFormat/>
    <w:uiPriority w:val="0"/>
    <w:rPr>
      <w:rFonts w:ascii="PMingLiU" w:hAnsi="PMingLiU" w:eastAsia="PMingLiU" w:cs="PMingLiU"/>
      <w:kern w:val="0"/>
      <w:sz w:val="20"/>
      <w:szCs w:val="20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918</Words>
  <Characters>979</Characters>
  <Lines>7</Lines>
  <Paragraphs>2</Paragraphs>
  <TotalTime>12</TotalTime>
  <ScaleCrop>false</ScaleCrop>
  <LinksUpToDate>false</LinksUpToDate>
  <CharactersWithSpaces>986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2022-12-08T02:57:00Z</dcterms:created>
  <dc:creator>Sunland</dc:creator>
  <cp:lastModifiedBy>陈少博</cp:lastModifiedBy>
  <dcterms:modified xsi:type="dcterms:W3CDTF">2023-07-12T14:36:26Z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1E263AD7BD2F4040921FDE6466055287_12</vt:lpwstr>
  </property>
</Properties>
</file>