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line="240" w:lineRule="auto"/>
        <w:jc w:val="center"/>
        <w:rPr>
          <w:rFonts w:ascii="黑体" w:hAnsi="黑体" w:eastAsia="黑体" w:cs="黑体"/>
          <w:bCs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弗迪电池有限公司与潍柴新能源动力科技有限公司新设合营企业案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弗迪电池有限公司（“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bidi="ar-AE"/>
              </w:rPr>
              <w:t>弗迪电池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”）和潍柴新能源动力科技有限公司（“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Hans" w:bidi="ar-AE"/>
              </w:rPr>
              <w:t>潍柴新能源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”）签署协议，拟在中国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Hans" w:bidi="ar-AE"/>
              </w:rPr>
              <w:t>山东省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设立合营企业。合营企业将主营动力电池的开发、生产和销售业务。交易后，弗迪电池和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Hans" w:bidi="ar-AE"/>
              </w:rPr>
              <w:t>潍柴新能源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分别持有合营企业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51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%和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49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%的股权，将共同控制合营企业。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弗迪电池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弗迪电池于2020年12月11日成立于中国重庆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Hans" w:bidi="ar-AE"/>
              </w:rPr>
              <w:t>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，主要从事锂离子电池及材料研发、生产和销售等业务。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eastAsia="zh-Hans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弗迪电池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Hans" w:bidi="ar-AE"/>
              </w:rPr>
              <w:t>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最终控制人为比亚迪股份有限公司，主要从事新能源汽车业务、手机部件及组装业务、二次充电电池及光伏业务、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轨道交通业务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Hans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eastAsia="zh-Han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2.</w:t>
            </w:r>
            <w:r>
              <w:rPr>
                <w:rFonts w:hint="eastAsia" w:ascii="Times New Roman" w:hAnsi="Times New Roman" w:eastAsia="宋体" w:cs="Simplified Arabic"/>
                <w:sz w:val="24"/>
                <w:szCs w:val="24"/>
                <w:lang w:eastAsia="zh-Hans" w:bidi="ar-AE"/>
              </w:rPr>
              <w:t>潍柴新能源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宋体" w:cs="Simplified Arabic"/>
                <w:sz w:val="24"/>
                <w:szCs w:val="24"/>
                <w:lang w:eastAsia="zh-Hans" w:bidi="ar-AE"/>
              </w:rPr>
              <w:t>潍柴新能源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于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2017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9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日成立于中国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Hans" w:bidi="ar-AE"/>
              </w:rPr>
              <w:t>山东省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，主要从事新能源动力总成及核心部件等的研发、生产、销售等业务。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宋体" w:cs="Simplified Arabic"/>
                <w:sz w:val="24"/>
                <w:szCs w:val="24"/>
                <w:lang w:eastAsia="zh-Hans" w:bidi="ar-AE"/>
              </w:rPr>
              <w:t>潍柴新能源的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最终控制人为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山东重工集团有限公司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eastAsia="zh-Hans"/>
              </w:rPr>
              <w:t>，主要从事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政府授权范围内的国有资产经营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eastAsia="zh-Hans"/>
              </w:rPr>
              <w:t>，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投资和企业管理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eastAsia="zh-Hans"/>
              </w:rPr>
              <w:t>，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规划组织、协调管理所属企业的生产经营活动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eastAsia="zh-Hans"/>
              </w:rPr>
              <w:t>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  <w:t>横向重叠：</w:t>
            </w:r>
          </w:p>
          <w:tbl>
            <w:tblPr>
              <w:tblStyle w:val="5"/>
              <w:tblW w:w="75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4"/>
              <w:gridCol w:w="1723"/>
              <w:gridCol w:w="364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4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23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64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</w:t>
                  </w:r>
                  <w:r>
                    <w:rPr>
                      <w:sz w:val="24"/>
                      <w:szCs w:val="24"/>
                    </w:rPr>
                    <w:t>2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4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纯电动商用车市场</w:t>
                  </w:r>
                </w:p>
              </w:tc>
              <w:tc>
                <w:tcPr>
                  <w:tcW w:w="1723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中国境内</w:t>
                  </w:r>
                </w:p>
              </w:tc>
              <w:tc>
                <w:tcPr>
                  <w:tcW w:w="364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潍柴新能源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双方合计：5-10%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4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电动叉车市场</w:t>
                  </w:r>
                </w:p>
              </w:tc>
              <w:tc>
                <w:tcPr>
                  <w:tcW w:w="1723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中国境内</w:t>
                  </w:r>
                </w:p>
              </w:tc>
              <w:tc>
                <w:tcPr>
                  <w:tcW w:w="364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潍柴新能源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双方合计：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-1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</w:pP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</w:pP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  <w:t>纵向关联：</w:t>
            </w:r>
          </w:p>
          <w:tbl>
            <w:tblPr>
              <w:tblStyle w:val="5"/>
              <w:tblW w:w="745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09"/>
              <w:gridCol w:w="1798"/>
              <w:gridCol w:w="354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9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9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54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</w:t>
                  </w:r>
                  <w:r>
                    <w:rPr>
                      <w:sz w:val="24"/>
                      <w:szCs w:val="24"/>
                    </w:rPr>
                    <w:t>2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9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下游：纯电动商用车市场</w:t>
                  </w:r>
                </w:p>
              </w:tc>
              <w:tc>
                <w:tcPr>
                  <w:tcW w:w="179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54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20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25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合营企业（预估）：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下游：中国境内纯电动商用车市场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弗迪电池：如上所述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潍柴新能源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109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混合动力商用车市场</w:t>
                  </w:r>
                </w:p>
              </w:tc>
              <w:tc>
                <w:tcPr>
                  <w:tcW w:w="179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54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如上所述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合营企业（预估）：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混合动力商用车市场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潍柴新能源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5-10%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9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电动叉车市场</w:t>
                  </w:r>
                </w:p>
              </w:tc>
              <w:tc>
                <w:tcPr>
                  <w:tcW w:w="179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54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如上所述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合营企业（预估）：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电动叉车市场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弗迪电池：如上所述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潍柴新能源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109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电动装载机市场</w:t>
                  </w:r>
                </w:p>
              </w:tc>
              <w:tc>
                <w:tcPr>
                  <w:tcW w:w="179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548" w:type="dxa"/>
                  <w:vAlign w:val="center"/>
                </w:tcPr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上游：中国境内电动汽车用锂离子动力电池市场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弗迪电池：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如上所述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合营企业（预估）：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电动装载机市场</w:t>
                  </w:r>
                </w:p>
                <w:p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潍柴新能源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>10-15%</w:t>
                  </w:r>
                  <w:bookmarkStart w:id="0" w:name="_GoBack"/>
                  <w:bookmarkEnd w:id="0"/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</w:tr>
    </w:tbl>
    <w:p>
      <w:pPr>
        <w:adjustRightInd w:val="0"/>
        <w:snapToGrid w:val="0"/>
        <w:spacing w:after="0" w:line="240" w:lineRule="auto"/>
        <w:jc w:val="both"/>
        <w:rPr>
          <w:rFonts w:ascii="Arial" w:hAnsi="Arial" w:eastAsia="楷体_GB2312" w:cs="Arial"/>
          <w:b/>
          <w:color w:val="000000"/>
          <w:lang w:val="en-GB" w:bidi="ar-AE"/>
        </w:rPr>
      </w:pPr>
    </w:p>
    <w:p>
      <w:pPr>
        <w:spacing w:after="240" w:line="240" w:lineRule="auto"/>
        <w:jc w:val="both"/>
        <w:rPr>
          <w:rFonts w:ascii="宋体" w:hAnsi="宋体" w:eastAsia="宋体" w:cs="宋体"/>
          <w:bCs/>
          <w:color w:val="000000"/>
          <w:sz w:val="28"/>
          <w:szCs w:val="28"/>
          <w:lang w:val="en-GB" w:bidi="ar-AE"/>
        </w:rPr>
      </w:pPr>
    </w:p>
    <w:p/>
    <w:sectPr>
      <w:footerReference r:id="rId5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c>
        <w:tcPr>
          <w:tcW w:w="3080" w:type="dxa"/>
        </w:tcPr>
        <w:p>
          <w:pPr>
            <w:pStyle w:val="3"/>
          </w:pPr>
        </w:p>
      </w:tc>
      <w:tc>
        <w:tcPr>
          <w:tcW w:w="3081" w:type="dxa"/>
        </w:tcPr>
        <w:p>
          <w:pPr>
            <w:pStyle w:val="3"/>
            <w:jc w:val="center"/>
            <w:rPr>
              <w:rStyle w:val="7"/>
              <w:rFonts w:cs="Times New Roman"/>
            </w:rPr>
          </w:pPr>
          <w:r>
            <w:rPr>
              <w:rStyle w:val="7"/>
              <w:rFonts w:cs="Times New Roman"/>
            </w:rPr>
            <w:t xml:space="preserve">- </w:t>
          </w:r>
          <w:r>
            <w:rPr>
              <w:rStyle w:val="7"/>
              <w:rFonts w:cs="Times New Roman"/>
            </w:rPr>
            <w:fldChar w:fldCharType="begin"/>
          </w:r>
          <w:r>
            <w:rPr>
              <w:rStyle w:val="7"/>
              <w:rFonts w:cs="Times New Roman"/>
            </w:rPr>
            <w:instrText xml:space="preserve"> PAGE   \* MERGEFORMAT </w:instrText>
          </w:r>
          <w:r>
            <w:rPr>
              <w:rStyle w:val="7"/>
              <w:rFonts w:cs="Times New Roman"/>
            </w:rPr>
            <w:fldChar w:fldCharType="separate"/>
          </w:r>
          <w:r>
            <w:rPr>
              <w:rStyle w:val="7"/>
              <w:rFonts w:cs="Times New Roman"/>
              <w:lang w:val="en-US"/>
            </w:rPr>
            <w:t>2</w:t>
          </w:r>
          <w:r>
            <w:rPr>
              <w:rStyle w:val="7"/>
              <w:rFonts w:cs="Times New Roman"/>
            </w:rPr>
            <w:fldChar w:fldCharType="end"/>
          </w:r>
          <w:r>
            <w:rPr>
              <w:rStyle w:val="7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9"/>
          </w:pPr>
        </w:p>
      </w:tc>
    </w:tr>
  </w:tbl>
  <w:p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bordersDoNotSurroundHeader w:val="1"/>
  <w:bordersDoNotSurroundFooter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ZDhlOWJjMzNiZmIzOTJmMDNmMDk1ZWE3NjYwYmIifQ=="/>
  </w:docVars>
  <w:rsids>
    <w:rsidRoot w:val="00260AA8"/>
    <w:rsid w:val="00093404"/>
    <w:rsid w:val="000D4057"/>
    <w:rsid w:val="00102A0A"/>
    <w:rsid w:val="001A6E02"/>
    <w:rsid w:val="001D03CF"/>
    <w:rsid w:val="001D7131"/>
    <w:rsid w:val="001F113C"/>
    <w:rsid w:val="001F7116"/>
    <w:rsid w:val="00260AA8"/>
    <w:rsid w:val="002873CA"/>
    <w:rsid w:val="002A63BD"/>
    <w:rsid w:val="003641B3"/>
    <w:rsid w:val="003679FF"/>
    <w:rsid w:val="004379B1"/>
    <w:rsid w:val="00470B3B"/>
    <w:rsid w:val="00583F6E"/>
    <w:rsid w:val="00596B05"/>
    <w:rsid w:val="005D6972"/>
    <w:rsid w:val="005E04F6"/>
    <w:rsid w:val="00630A1F"/>
    <w:rsid w:val="006318AE"/>
    <w:rsid w:val="00673446"/>
    <w:rsid w:val="006B369A"/>
    <w:rsid w:val="006D00A5"/>
    <w:rsid w:val="006F6E4D"/>
    <w:rsid w:val="00701E3E"/>
    <w:rsid w:val="00703BC0"/>
    <w:rsid w:val="00784A90"/>
    <w:rsid w:val="007909B8"/>
    <w:rsid w:val="00793308"/>
    <w:rsid w:val="00795B70"/>
    <w:rsid w:val="007B68BF"/>
    <w:rsid w:val="007D5E61"/>
    <w:rsid w:val="007F57FE"/>
    <w:rsid w:val="008409C6"/>
    <w:rsid w:val="00864403"/>
    <w:rsid w:val="0091155A"/>
    <w:rsid w:val="00991705"/>
    <w:rsid w:val="00A336EC"/>
    <w:rsid w:val="00A45232"/>
    <w:rsid w:val="00AE4FA1"/>
    <w:rsid w:val="00B82A53"/>
    <w:rsid w:val="00BC1FC6"/>
    <w:rsid w:val="00BF6EBD"/>
    <w:rsid w:val="00C03B64"/>
    <w:rsid w:val="00C1232D"/>
    <w:rsid w:val="00C51888"/>
    <w:rsid w:val="00C6438C"/>
    <w:rsid w:val="00C85635"/>
    <w:rsid w:val="00CB5CFB"/>
    <w:rsid w:val="00D450D1"/>
    <w:rsid w:val="00D57C26"/>
    <w:rsid w:val="00D63466"/>
    <w:rsid w:val="00DD2660"/>
    <w:rsid w:val="00DF7AB5"/>
    <w:rsid w:val="00E17C0C"/>
    <w:rsid w:val="00E65D96"/>
    <w:rsid w:val="00F85EDF"/>
    <w:rsid w:val="00FA1A1A"/>
    <w:rsid w:val="00FC65D5"/>
    <w:rsid w:val="00FD3E36"/>
    <w:rsid w:val="1F6797F8"/>
    <w:rsid w:val="1FDCD8F2"/>
    <w:rsid w:val="24F77AD0"/>
    <w:rsid w:val="2DFF9399"/>
    <w:rsid w:val="33FEE29B"/>
    <w:rsid w:val="3C6A08A1"/>
    <w:rsid w:val="3E760DA2"/>
    <w:rsid w:val="438D729D"/>
    <w:rsid w:val="44EE797D"/>
    <w:rsid w:val="4DFB6F6F"/>
    <w:rsid w:val="4F336605"/>
    <w:rsid w:val="57E8EB5D"/>
    <w:rsid w:val="5A56B790"/>
    <w:rsid w:val="5E1C59A4"/>
    <w:rsid w:val="63182FEF"/>
    <w:rsid w:val="6D071A6C"/>
    <w:rsid w:val="6F226BF0"/>
    <w:rsid w:val="6FDF87C6"/>
    <w:rsid w:val="77B7BDD1"/>
    <w:rsid w:val="7835276E"/>
    <w:rsid w:val="78BBB395"/>
    <w:rsid w:val="7B5729F4"/>
    <w:rsid w:val="7CBF486E"/>
    <w:rsid w:val="7EAFD474"/>
    <w:rsid w:val="7EFF8D19"/>
    <w:rsid w:val="7F7BC666"/>
    <w:rsid w:val="7FC3A66D"/>
    <w:rsid w:val="83FEFFB4"/>
    <w:rsid w:val="8FAB8BF1"/>
    <w:rsid w:val="AA3F3145"/>
    <w:rsid w:val="BBFF89E7"/>
    <w:rsid w:val="BEBC342D"/>
    <w:rsid w:val="BFDAC19B"/>
    <w:rsid w:val="D1FDE433"/>
    <w:rsid w:val="D3FBB522"/>
    <w:rsid w:val="D9DB0420"/>
    <w:rsid w:val="DCFEC847"/>
    <w:rsid w:val="DFF30202"/>
    <w:rsid w:val="F7BE4ED6"/>
    <w:rsid w:val="FAF87562"/>
    <w:rsid w:val="FD77CF77"/>
    <w:rsid w:val="FEDF2EE1"/>
    <w:rsid w:val="FEEEB40C"/>
    <w:rsid w:val="FEFE038E"/>
    <w:rsid w:val="FF3EA310"/>
    <w:rsid w:val="FFDC9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8">
    <w:name w:val="页脚 字符"/>
    <w:basedOn w:val="6"/>
    <w:link w:val="3"/>
    <w:semiHidden/>
    <w:qFormat/>
    <w:uiPriority w:val="99"/>
  </w:style>
  <w:style w:type="paragraph" w:customStyle="1" w:styleId="9">
    <w:name w:val="Footer Right"/>
    <w:basedOn w:val="3"/>
    <w:qFormat/>
    <w:uiPriority w:val="0"/>
    <w:pPr>
      <w:tabs>
        <w:tab w:val="clear" w:pos="4320"/>
        <w:tab w:val="clear" w:pos="8640"/>
      </w:tabs>
      <w:jc w:val="right"/>
    </w:pPr>
    <w:rPr>
      <w:rFonts w:ascii="Times New Roman" w:hAnsi="Times New Roman" w:eastAsia="宋体" w:cs="Times New Roman"/>
      <w:sz w:val="16"/>
      <w:szCs w:val="16"/>
      <w:lang w:val="en-GB" w:bidi="he-IL"/>
    </w:r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  <w:style w:type="paragraph" w:customStyle="1" w:styleId="11">
    <w:name w:val="修订1"/>
    <w:hidden/>
    <w:semiHidden/>
    <w:qFormat/>
    <w:uiPriority w:val="99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2">
    <w:name w:val="fontstyle01"/>
    <w:basedOn w:val="6"/>
    <w:qFormat/>
    <w:uiPriority w:val="0"/>
    <w:rPr>
      <w:rFonts w:hint="eastAsia" w:ascii="宋体" w:hAnsi="宋体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217</Words>
  <Characters>1243</Characters>
  <Lines>10</Lines>
  <Paragraphs>2</Paragraphs>
  <TotalTime>1</TotalTime>
  <ScaleCrop>false</ScaleCrop>
  <LinksUpToDate>false</LinksUpToDate>
  <CharactersWithSpaces>1458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2023-07-28T07:19:00Z</dcterms:created>
  <dc:creator>DaHui Lawyers</dc:creator>
  <cp:lastModifiedBy>偶入园林</cp:lastModifiedBy>
  <cp:lastPrinted>2023-07-28T04:20:00Z</cp:lastPrinted>
  <dcterms:modified xsi:type="dcterms:W3CDTF">2023-07-28T07:50:39Z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5EC9F4978FF44F328DBB3789B1B121D2_13</vt:lpwstr>
  </property>
</Properties>
</file>